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5F" w:rsidRPr="00980DB7" w:rsidRDefault="002C345F" w:rsidP="002C345F">
      <w:pPr>
        <w:jc w:val="center"/>
        <w:rPr>
          <w:rFonts w:ascii="Calibri" w:hAnsi="Calibri"/>
          <w:b/>
          <w:color w:val="000000"/>
          <w:sz w:val="44"/>
          <w:szCs w:val="44"/>
        </w:rPr>
      </w:pPr>
      <w:r w:rsidRPr="00980DB7">
        <w:rPr>
          <w:rFonts w:ascii="Calibri" w:hAnsi="Calibri" w:cs="Arial"/>
          <w:b/>
          <w:sz w:val="44"/>
          <w:szCs w:val="44"/>
        </w:rPr>
        <w:t xml:space="preserve">Further Education </w:t>
      </w:r>
      <w:r>
        <w:rPr>
          <w:rFonts w:ascii="Calibri" w:hAnsi="Calibri" w:cs="Arial"/>
          <w:b/>
          <w:sz w:val="44"/>
          <w:szCs w:val="44"/>
        </w:rPr>
        <w:t>General College Regulations 20</w:t>
      </w:r>
      <w:r w:rsidR="00037C05">
        <w:rPr>
          <w:rFonts w:ascii="Calibri" w:hAnsi="Calibri" w:cs="Arial"/>
          <w:b/>
          <w:sz w:val="44"/>
          <w:szCs w:val="44"/>
        </w:rPr>
        <w:t>20</w:t>
      </w:r>
      <w:r>
        <w:rPr>
          <w:rFonts w:ascii="Calibri" w:hAnsi="Calibri" w:cs="Arial"/>
          <w:b/>
          <w:sz w:val="44"/>
          <w:szCs w:val="44"/>
        </w:rPr>
        <w:t>-</w:t>
      </w:r>
      <w:r w:rsidR="00AE494C">
        <w:rPr>
          <w:rFonts w:ascii="Calibri" w:hAnsi="Calibri" w:cs="Arial"/>
          <w:b/>
          <w:sz w:val="44"/>
          <w:szCs w:val="44"/>
        </w:rPr>
        <w:t>2</w:t>
      </w:r>
      <w:r w:rsidR="00037C05">
        <w:rPr>
          <w:rFonts w:ascii="Calibri" w:hAnsi="Calibri" w:cs="Arial"/>
          <w:b/>
          <w:sz w:val="44"/>
          <w:szCs w:val="44"/>
        </w:rPr>
        <w:t>1</w:t>
      </w:r>
    </w:p>
    <w:p w:rsidR="00344D2D" w:rsidRPr="00AF55D6" w:rsidRDefault="00344D2D" w:rsidP="00AF55D6">
      <w:pPr>
        <w:jc w:val="both"/>
        <w:rPr>
          <w:rFonts w:asciiTheme="majorHAnsi" w:hAnsiTheme="majorHAnsi"/>
          <w:b/>
          <w:color w:val="000000" w:themeColor="text1"/>
          <w:sz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5376"/>
        <w:gridCol w:w="5387"/>
      </w:tblGrid>
      <w:tr w:rsidR="00544FAA" w:rsidRPr="00AF55D6" w:rsidTr="00037C05">
        <w:trPr>
          <w:tblHeader/>
        </w:trPr>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DF3AC0">
        <w:tc>
          <w:tcPr>
            <w:tcW w:w="5494" w:type="dxa"/>
          </w:tcPr>
          <w:p w:rsidR="00544FAA" w:rsidRPr="00AF55D6" w:rsidRDefault="002C345F" w:rsidP="00DF3AC0">
            <w:pPr>
              <w:jc w:val="center"/>
              <w:rPr>
                <w:rFonts w:asciiTheme="majorHAnsi" w:hAnsiTheme="majorHAnsi"/>
                <w:color w:val="000000" w:themeColor="text1"/>
              </w:rPr>
            </w:pPr>
            <w:r>
              <w:rPr>
                <w:rFonts w:asciiTheme="majorHAnsi" w:hAnsiTheme="majorHAnsi"/>
                <w:color w:val="000000" w:themeColor="text1"/>
              </w:rPr>
              <w:t>FE Central</w:t>
            </w:r>
          </w:p>
        </w:tc>
        <w:tc>
          <w:tcPr>
            <w:tcW w:w="5495" w:type="dxa"/>
          </w:tcPr>
          <w:p w:rsidR="00544FAA" w:rsidRPr="00AF55D6" w:rsidRDefault="002C345F" w:rsidP="00DF3AC0">
            <w:pPr>
              <w:jc w:val="center"/>
              <w:rPr>
                <w:rFonts w:asciiTheme="majorHAnsi" w:hAnsiTheme="majorHAnsi"/>
                <w:color w:val="000000" w:themeColor="text1"/>
              </w:rPr>
            </w:pPr>
            <w:r>
              <w:rPr>
                <w:rFonts w:asciiTheme="majorHAnsi" w:hAnsiTheme="majorHAnsi"/>
                <w:color w:val="000000" w:themeColor="text1"/>
              </w:rPr>
              <w:t>FE Central</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DF3AC0">
        <w:tc>
          <w:tcPr>
            <w:tcW w:w="5494" w:type="dxa"/>
          </w:tcPr>
          <w:p w:rsidR="00544FAA" w:rsidRPr="00AF55D6" w:rsidRDefault="005C7E4C" w:rsidP="00DF3AC0">
            <w:pPr>
              <w:jc w:val="center"/>
              <w:rPr>
                <w:rFonts w:asciiTheme="majorHAnsi" w:hAnsiTheme="majorHAnsi"/>
                <w:color w:val="000000" w:themeColor="text1"/>
              </w:rPr>
            </w:pPr>
            <w:r>
              <w:rPr>
                <w:rFonts w:asciiTheme="majorHAnsi" w:hAnsiTheme="majorHAnsi"/>
                <w:color w:val="000000" w:themeColor="text1"/>
              </w:rPr>
              <w:t>2.2</w:t>
            </w:r>
          </w:p>
        </w:tc>
        <w:tc>
          <w:tcPr>
            <w:tcW w:w="5495" w:type="dxa"/>
          </w:tcPr>
          <w:p w:rsidR="00037C05" w:rsidRDefault="00037C05" w:rsidP="00037C05">
            <w:pPr>
              <w:jc w:val="center"/>
              <w:rPr>
                <w:rFonts w:asciiTheme="majorHAnsi" w:hAnsiTheme="majorHAnsi"/>
                <w:color w:val="000000" w:themeColor="text1"/>
              </w:rPr>
            </w:pPr>
            <w:r>
              <w:rPr>
                <w:rFonts w:asciiTheme="majorHAnsi" w:hAnsiTheme="majorHAnsi"/>
                <w:color w:val="000000" w:themeColor="text1"/>
              </w:rPr>
              <w:t>September 2010</w:t>
            </w:r>
          </w:p>
          <w:p w:rsidR="00544FAA" w:rsidRPr="00AF55D6" w:rsidRDefault="00F0060C" w:rsidP="00F0060C">
            <w:pPr>
              <w:jc w:val="center"/>
              <w:rPr>
                <w:rFonts w:asciiTheme="majorHAnsi" w:hAnsiTheme="majorHAnsi"/>
                <w:color w:val="000000" w:themeColor="text1"/>
              </w:rPr>
            </w:pPr>
            <w:r>
              <w:rPr>
                <w:rFonts w:asciiTheme="majorHAnsi" w:hAnsiTheme="majorHAnsi"/>
                <w:color w:val="000000" w:themeColor="text1"/>
              </w:rPr>
              <w:t>3</w:t>
            </w:r>
            <w:r w:rsidR="005C7E4C">
              <w:rPr>
                <w:rFonts w:asciiTheme="majorHAnsi" w:hAnsiTheme="majorHAnsi"/>
                <w:color w:val="000000" w:themeColor="text1"/>
              </w:rPr>
              <w:t>1/0</w:t>
            </w:r>
            <w:r>
              <w:rPr>
                <w:rFonts w:asciiTheme="majorHAnsi" w:hAnsiTheme="majorHAnsi"/>
                <w:color w:val="000000" w:themeColor="text1"/>
              </w:rPr>
              <w:t>7</w:t>
            </w:r>
            <w:r w:rsidR="005C7E4C">
              <w:rPr>
                <w:rFonts w:asciiTheme="majorHAnsi" w:hAnsiTheme="majorHAnsi"/>
                <w:color w:val="000000" w:themeColor="text1"/>
              </w:rPr>
              <w:t>/17</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p>
        </w:tc>
        <w:tc>
          <w:tcPr>
            <w:tcW w:w="5495" w:type="dxa"/>
          </w:tcPr>
          <w:p w:rsidR="00544FAA" w:rsidRPr="00AF55D6" w:rsidRDefault="00544FAA" w:rsidP="00DF3AC0">
            <w:pPr>
              <w:jc w:val="center"/>
              <w:rPr>
                <w:rFonts w:asciiTheme="majorHAnsi" w:hAnsiTheme="majorHAnsi"/>
                <w:color w:val="000000" w:themeColor="text1"/>
              </w:rPr>
            </w:pPr>
          </w:p>
        </w:tc>
      </w:tr>
      <w:tr w:rsidR="00544FAA" w:rsidRPr="00AF55D6" w:rsidTr="00DF3AC0">
        <w:tc>
          <w:tcPr>
            <w:tcW w:w="5494" w:type="dxa"/>
            <w:shd w:val="clear" w:color="auto" w:fill="D9D9D9" w:themeFill="background1" w:themeFillShade="D9"/>
          </w:tcPr>
          <w:p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DF3AC0">
        <w:tc>
          <w:tcPr>
            <w:tcW w:w="5494" w:type="dxa"/>
          </w:tcPr>
          <w:p w:rsidR="00544FAA" w:rsidRDefault="002C345F" w:rsidP="00DF3AC0">
            <w:pPr>
              <w:jc w:val="center"/>
              <w:rPr>
                <w:rFonts w:asciiTheme="majorHAnsi" w:hAnsiTheme="majorHAnsi"/>
                <w:color w:val="000000" w:themeColor="text1"/>
              </w:rPr>
            </w:pPr>
            <w:r>
              <w:rPr>
                <w:rFonts w:asciiTheme="majorHAnsi" w:hAnsiTheme="majorHAnsi"/>
                <w:color w:val="000000" w:themeColor="text1"/>
              </w:rPr>
              <w:t>FEQMG</w:t>
            </w:r>
          </w:p>
          <w:p w:rsidR="002C345F" w:rsidRDefault="002C345F" w:rsidP="00DF3AC0">
            <w:pPr>
              <w:jc w:val="center"/>
              <w:rPr>
                <w:rFonts w:asciiTheme="majorHAnsi" w:hAnsiTheme="majorHAnsi"/>
                <w:color w:val="000000" w:themeColor="text1"/>
              </w:rPr>
            </w:pPr>
            <w:r>
              <w:rPr>
                <w:rFonts w:asciiTheme="majorHAnsi" w:hAnsiTheme="majorHAnsi"/>
                <w:color w:val="000000" w:themeColor="text1"/>
              </w:rPr>
              <w:t>Academic Board</w:t>
            </w:r>
          </w:p>
          <w:p w:rsidR="00544FAA" w:rsidRPr="00AF55D6" w:rsidRDefault="00544FAA" w:rsidP="00DF3AC0">
            <w:pPr>
              <w:jc w:val="center"/>
              <w:rPr>
                <w:rFonts w:asciiTheme="majorHAnsi" w:hAnsiTheme="majorHAnsi"/>
                <w:color w:val="000000" w:themeColor="text1"/>
              </w:rPr>
            </w:pPr>
          </w:p>
        </w:tc>
        <w:tc>
          <w:tcPr>
            <w:tcW w:w="5495" w:type="dxa"/>
          </w:tcPr>
          <w:p w:rsidR="00037C05" w:rsidRPr="00AF55D6" w:rsidRDefault="00037C05" w:rsidP="00DF3AC0">
            <w:pPr>
              <w:jc w:val="center"/>
              <w:rPr>
                <w:rFonts w:asciiTheme="majorHAnsi" w:hAnsiTheme="majorHAnsi"/>
                <w:color w:val="000000" w:themeColor="text1"/>
              </w:rPr>
            </w:pPr>
            <w:r>
              <w:rPr>
                <w:rFonts w:asciiTheme="majorHAnsi" w:hAnsiTheme="majorHAnsi"/>
                <w:lang w:val="en-GB"/>
              </w:rPr>
              <w:t>20/07/2020</w:t>
            </w:r>
          </w:p>
        </w:tc>
      </w:tr>
      <w:tr w:rsidR="00544FAA" w:rsidRPr="00AF55D6" w:rsidTr="00DF3AC0">
        <w:tc>
          <w:tcPr>
            <w:tcW w:w="10989" w:type="dxa"/>
            <w:gridSpan w:val="2"/>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3B26A7">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And/Or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Internal access (</w:t>
            </w:r>
            <w:proofErr w:type="spellStart"/>
            <w:r w:rsidRPr="00AF55D6">
              <w:rPr>
                <w:rFonts w:asciiTheme="majorHAnsi" w:hAnsiTheme="majorHAnsi"/>
                <w:color w:val="000000" w:themeColor="text1"/>
              </w:rPr>
              <w:t>MyWi</w:t>
            </w:r>
            <w:proofErr w:type="spellEnd"/>
            <w:r w:rsidRPr="00AF55D6">
              <w:rPr>
                <w:rFonts w:asciiTheme="majorHAnsi" w:hAnsiTheme="majorHAnsi"/>
                <w:color w:val="000000" w:themeColor="text1"/>
              </w:rPr>
              <w:t xml:space="preserve">)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D969B2">
                  <w:rPr>
                    <w:rFonts w:ascii="MS Gothic" w:eastAsia="MS Gothic" w:hAnsi="MS Gothic" w:hint="eastAsia"/>
                    <w:color w:val="000000" w:themeColor="text1"/>
                  </w:rPr>
                  <w:t>☒</w:t>
                </w:r>
              </w:sdtContent>
            </w:sdt>
          </w:p>
        </w:tc>
        <w:tc>
          <w:tcPr>
            <w:tcW w:w="5495"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1"/>
                  <w14:checkedState w14:val="2612" w14:font="MS Gothic"/>
                  <w14:uncheckedState w14:val="2610" w14:font="MS Gothic"/>
                </w14:checkbox>
              </w:sdtPr>
              <w:sdtEndPr/>
              <w:sdtContent>
                <w:r w:rsidR="00D969B2">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r>
    </w:tbl>
    <w:p w:rsidR="00544FAA" w:rsidRDefault="00544FAA" w:rsidP="00AF55D6">
      <w:pPr>
        <w:pStyle w:val="Heading1"/>
        <w:jc w:val="both"/>
      </w:pPr>
    </w:p>
    <w:p w:rsidR="00544FAA" w:rsidRDefault="00544FAA">
      <w:pPr>
        <w:rPr>
          <w:rFonts w:asciiTheme="majorHAnsi" w:eastAsiaTheme="majorEastAsia" w:hAnsiTheme="majorHAnsi" w:cstheme="majorBidi"/>
          <w:b/>
          <w:bCs/>
          <w:sz w:val="32"/>
          <w:szCs w:val="28"/>
        </w:rPr>
      </w:pPr>
      <w:r>
        <w:br w:type="page"/>
      </w:r>
    </w:p>
    <w:p w:rsidR="00344D2D" w:rsidRPr="00AF55D6" w:rsidRDefault="00344D2D" w:rsidP="00AF55D6">
      <w:pPr>
        <w:pStyle w:val="Heading1"/>
        <w:jc w:val="both"/>
      </w:pPr>
      <w:r w:rsidRPr="00AF55D6">
        <w:lastRenderedPageBreak/>
        <w:t>Policy Overview and Scope</w:t>
      </w:r>
    </w:p>
    <w:p w:rsidR="00344D2D" w:rsidRPr="00AF55D6" w:rsidRDefault="00344D2D" w:rsidP="00AF55D6">
      <w:pPr>
        <w:jc w:val="both"/>
        <w:rPr>
          <w:rFonts w:asciiTheme="majorHAnsi" w:hAnsiTheme="majorHAnsi"/>
          <w:b/>
          <w:color w:val="000000" w:themeColor="text1"/>
        </w:rPr>
      </w:pPr>
    </w:p>
    <w:p w:rsidR="002C345F" w:rsidRPr="007A52B5" w:rsidRDefault="002C345F" w:rsidP="002C345F">
      <w:pPr>
        <w:jc w:val="both"/>
        <w:rPr>
          <w:rFonts w:ascii="Calibri" w:hAnsi="Calibri" w:cs="Arial"/>
          <w:b/>
        </w:rPr>
      </w:pPr>
      <w:r w:rsidRPr="007A52B5">
        <w:rPr>
          <w:rFonts w:ascii="Calibri" w:hAnsi="Calibri" w:cs="Arial"/>
        </w:rPr>
        <w:t xml:space="preserve">The </w:t>
      </w:r>
      <w:r w:rsidR="009C7B6D">
        <w:rPr>
          <w:rFonts w:ascii="Calibri" w:hAnsi="Calibri" w:cs="Arial"/>
        </w:rPr>
        <w:t xml:space="preserve">University </w:t>
      </w:r>
      <w:r w:rsidRPr="007A52B5">
        <w:rPr>
          <w:rFonts w:ascii="Calibri" w:hAnsi="Calibri" w:cs="Arial"/>
        </w:rPr>
        <w:t xml:space="preserve">College Regulations are kept to a minimum but are set down in order to provide a framework within which the </w:t>
      </w:r>
      <w:r w:rsidR="009C7B6D">
        <w:rPr>
          <w:rFonts w:ascii="Calibri" w:hAnsi="Calibri" w:cs="Arial"/>
        </w:rPr>
        <w:t xml:space="preserve">University </w:t>
      </w:r>
      <w:r w:rsidRPr="007A52B5">
        <w:rPr>
          <w:rFonts w:ascii="Calibri" w:hAnsi="Calibri" w:cs="Arial"/>
        </w:rPr>
        <w:t xml:space="preserve">College community can operate effectively.  </w:t>
      </w:r>
      <w:r w:rsidRPr="007A52B5">
        <w:rPr>
          <w:rFonts w:ascii="Calibri" w:hAnsi="Calibri" w:cs="Arial"/>
          <w:b/>
        </w:rPr>
        <w:t>Disciplinary action may be taken against any student in breach of these Regulations.</w:t>
      </w:r>
    </w:p>
    <w:p w:rsidR="002C345F" w:rsidRPr="007A52B5" w:rsidRDefault="002C345F" w:rsidP="002C345F">
      <w:pPr>
        <w:jc w:val="both"/>
        <w:rPr>
          <w:rFonts w:ascii="Calibri" w:hAnsi="Calibri" w:cs="Arial"/>
          <w:b/>
        </w:rPr>
      </w:pPr>
    </w:p>
    <w:p w:rsidR="00344D2D" w:rsidRPr="00AF55D6" w:rsidRDefault="002C345F" w:rsidP="002C345F">
      <w:pPr>
        <w:jc w:val="both"/>
        <w:rPr>
          <w:rFonts w:asciiTheme="majorHAnsi" w:hAnsiTheme="majorHAnsi"/>
          <w:b/>
          <w:color w:val="000000" w:themeColor="text1"/>
        </w:rPr>
      </w:pPr>
      <w:r w:rsidRPr="007A52B5">
        <w:rPr>
          <w:rFonts w:ascii="Calibri" w:hAnsi="Calibri" w:cs="Arial"/>
        </w:rPr>
        <w:t xml:space="preserve">These regulations should be read in conjunction with the </w:t>
      </w:r>
      <w:r w:rsidR="009C7B6D" w:rsidRPr="009C7B6D">
        <w:rPr>
          <w:rFonts w:ascii="Calibri" w:hAnsi="Calibri" w:cs="Arial"/>
          <w:b/>
        </w:rPr>
        <w:t xml:space="preserve">University </w:t>
      </w:r>
      <w:r w:rsidRPr="007A52B5">
        <w:rPr>
          <w:rFonts w:ascii="Calibri" w:hAnsi="Calibri" w:cs="Arial"/>
          <w:b/>
        </w:rPr>
        <w:t>College and Learner Commitment</w:t>
      </w:r>
      <w:r w:rsidRPr="007A52B5">
        <w:rPr>
          <w:rFonts w:ascii="Calibri" w:hAnsi="Calibri" w:cs="Arial"/>
        </w:rPr>
        <w:t>.</w:t>
      </w:r>
    </w:p>
    <w:p w:rsidR="00CA1C2D" w:rsidRPr="00AF55D6" w:rsidRDefault="00CA1C2D" w:rsidP="00AF55D6">
      <w:pPr>
        <w:pBdr>
          <w:bottom w:val="single" w:sz="12" w:space="1" w:color="auto"/>
        </w:pBdr>
        <w:jc w:val="center"/>
        <w:rPr>
          <w:rFonts w:asciiTheme="majorHAnsi" w:hAnsiTheme="majorHAnsi"/>
          <w:b/>
          <w:color w:val="000000" w:themeColor="text1"/>
        </w:rPr>
      </w:pPr>
    </w:p>
    <w:p w:rsidR="00344D2D" w:rsidRPr="00AF55D6" w:rsidRDefault="008A12D7" w:rsidP="00AF55D6">
      <w:pPr>
        <w:pStyle w:val="Heading1"/>
        <w:jc w:val="both"/>
      </w:pPr>
      <w:r>
        <w:t>Policy and</w:t>
      </w:r>
      <w:r w:rsidR="00CA1C2D">
        <w:t xml:space="preserve"> </w:t>
      </w:r>
      <w:r w:rsidR="00344D2D" w:rsidRPr="00AF55D6">
        <w:t>Procedure</w:t>
      </w:r>
    </w:p>
    <w:p w:rsidR="00AF55D6" w:rsidRPr="00AF55D6" w:rsidRDefault="00AF55D6" w:rsidP="00AF55D6">
      <w:pPr>
        <w:jc w:val="both"/>
        <w:rPr>
          <w:rFonts w:asciiTheme="majorHAnsi" w:hAnsiTheme="majorHAnsi"/>
        </w:rPr>
      </w:pPr>
    </w:p>
    <w:tbl>
      <w:tblPr>
        <w:tblW w:w="9180" w:type="dxa"/>
        <w:tblLayout w:type="fixed"/>
        <w:tblLook w:val="0000" w:firstRow="0" w:lastRow="0" w:firstColumn="0" w:lastColumn="0" w:noHBand="0" w:noVBand="0"/>
      </w:tblPr>
      <w:tblGrid>
        <w:gridCol w:w="817"/>
        <w:gridCol w:w="851"/>
        <w:gridCol w:w="7512"/>
      </w:tblGrid>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1.</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STANDARDS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Heavy/dirty footwear must be removed before entering the teaching, dining, recreational or residential areas.  Overalls must not be worn in the Garden Room.</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Smoking in </w:t>
            </w:r>
            <w:r>
              <w:rPr>
                <w:rFonts w:ascii="Calibri" w:hAnsi="Calibri" w:cs="Arial"/>
              </w:rPr>
              <w:t xml:space="preserve">University </w:t>
            </w:r>
            <w:r w:rsidRPr="007A52B5">
              <w:rPr>
                <w:rFonts w:ascii="Calibri" w:hAnsi="Calibri" w:cs="Arial"/>
              </w:rPr>
              <w:t>College buildings, Halls of Residence and the bar is prohibited.  Designated smoking points are provided across campus.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1.3.</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Food and drink must not be taken into lecture rooms, study rooms, laboratories, workshops, computer suite, library, Postgraduate Centre, </w:t>
            </w:r>
            <w:proofErr w:type="spellStart"/>
            <w:r w:rsidRPr="007A52B5">
              <w:rPr>
                <w:rFonts w:ascii="Calibri" w:hAnsi="Calibri" w:cs="Arial"/>
              </w:rPr>
              <w:t>etc</w:t>
            </w:r>
            <w:proofErr w:type="spellEnd"/>
            <w:r w:rsidRPr="007A52B5">
              <w:rPr>
                <w:rFonts w:ascii="Calibri" w:hAnsi="Calibri" w:cs="Arial"/>
              </w:rPr>
              <w:t xml:space="preserve"> and may not be consumed within the teaching buildings.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1.4.</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It is our policy to maintain the Writtle estate as a "litter free environment" and the co-operation of everyone is requested in this respect.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1.5.</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Everyone is expected to assist in ensuring that public areas are maintained in a clean and tidy condition.</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363" w:type="dxa"/>
            <w:gridSpan w:val="2"/>
          </w:tcPr>
          <w:p w:rsidR="002C345F" w:rsidRPr="007A52B5" w:rsidRDefault="002C345F" w:rsidP="00596796">
            <w:pPr>
              <w:jc w:val="both"/>
              <w:rPr>
                <w:rFonts w:ascii="Calibri" w:hAnsi="Calibri" w:cs="Arial"/>
                <w:b/>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2.</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CONDUCT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2.1.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The </w:t>
            </w:r>
            <w:r>
              <w:rPr>
                <w:rFonts w:ascii="Calibri" w:hAnsi="Calibri" w:cs="Arial"/>
              </w:rPr>
              <w:t xml:space="preserve">University </w:t>
            </w:r>
            <w:r w:rsidRPr="007A52B5">
              <w:rPr>
                <w:rFonts w:ascii="Calibri" w:hAnsi="Calibri" w:cs="Arial"/>
              </w:rPr>
              <w:t xml:space="preserve">College is a community and students must conduct themselves in such a way that no inconvenience or annoyance is caused to other members of that community.  </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2.2.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Students must ensure that they do not bring the names of the </w:t>
            </w:r>
            <w:r>
              <w:rPr>
                <w:rFonts w:ascii="Calibri" w:hAnsi="Calibri" w:cs="Arial"/>
              </w:rPr>
              <w:t xml:space="preserve">University </w:t>
            </w:r>
            <w:r w:rsidRPr="007A52B5">
              <w:rPr>
                <w:rFonts w:ascii="Calibri" w:hAnsi="Calibri" w:cs="Arial"/>
              </w:rPr>
              <w:t>College, or its staff or students into disrepute.  This includes the publishing of defamatory comments on internet networking sites.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2.3.</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Students must not indulge in dangerous or reckless practices which could harm either themselves or others, or </w:t>
            </w:r>
            <w:r>
              <w:rPr>
                <w:rFonts w:ascii="Calibri" w:hAnsi="Calibri" w:cs="Arial"/>
              </w:rPr>
              <w:t xml:space="preserve">University </w:t>
            </w:r>
            <w:r w:rsidRPr="007A52B5">
              <w:rPr>
                <w:rFonts w:ascii="Calibri" w:hAnsi="Calibri" w:cs="Arial"/>
              </w:rPr>
              <w:t xml:space="preserve">College equipment, or premises, or contravene the </w:t>
            </w:r>
            <w:r>
              <w:rPr>
                <w:rFonts w:ascii="Calibri" w:hAnsi="Calibri" w:cs="Arial"/>
              </w:rPr>
              <w:t xml:space="preserve">University </w:t>
            </w:r>
            <w:r w:rsidRPr="007A52B5">
              <w:rPr>
                <w:rFonts w:ascii="Calibri" w:hAnsi="Calibri" w:cs="Arial"/>
              </w:rPr>
              <w:t xml:space="preserve">College's Health and Safety Policy (copies available from the H&amp;S Officer, or on the </w:t>
            </w:r>
            <w:r>
              <w:rPr>
                <w:rFonts w:ascii="Calibri" w:hAnsi="Calibri" w:cs="Arial"/>
              </w:rPr>
              <w:t xml:space="preserve">University </w:t>
            </w:r>
            <w:r w:rsidRPr="007A52B5">
              <w:rPr>
                <w:rFonts w:ascii="Calibri" w:hAnsi="Calibri" w:cs="Arial"/>
              </w:rPr>
              <w:t>College Student Intranet).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2.4.</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Mobile phones and paging devices must be switched off during all lectures, </w:t>
            </w:r>
            <w:proofErr w:type="spellStart"/>
            <w:r w:rsidRPr="007A52B5">
              <w:rPr>
                <w:rFonts w:ascii="Calibri" w:hAnsi="Calibri" w:cs="Arial"/>
              </w:rPr>
              <w:t>practicals</w:t>
            </w:r>
            <w:proofErr w:type="spellEnd"/>
            <w:r w:rsidRPr="007A52B5">
              <w:rPr>
                <w:rFonts w:ascii="Calibri" w:hAnsi="Calibri" w:cs="Arial"/>
              </w:rPr>
              <w:t xml:space="preserve"> and examinations, and whilst in the Computer Suites and Library.</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bl>
    <w:p w:rsidR="002C345F" w:rsidRDefault="002C345F">
      <w:r>
        <w:br w:type="page"/>
      </w:r>
    </w:p>
    <w:tbl>
      <w:tblPr>
        <w:tblW w:w="9180" w:type="dxa"/>
        <w:tblLayout w:type="fixed"/>
        <w:tblLook w:val="0000" w:firstRow="0" w:lastRow="0" w:firstColumn="0" w:lastColumn="0" w:noHBand="0" w:noVBand="0"/>
      </w:tblPr>
      <w:tblGrid>
        <w:gridCol w:w="817"/>
        <w:gridCol w:w="851"/>
        <w:gridCol w:w="7512"/>
      </w:tblGrid>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lastRenderedPageBreak/>
              <w:t>3.</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DAMAGE</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3.1.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Any student causing </w:t>
            </w:r>
            <w:proofErr w:type="spellStart"/>
            <w:r w:rsidRPr="007A52B5">
              <w:rPr>
                <w:rFonts w:ascii="Calibri" w:hAnsi="Calibri" w:cs="Arial"/>
              </w:rPr>
              <w:t>wilful</w:t>
            </w:r>
            <w:proofErr w:type="spellEnd"/>
            <w:r w:rsidRPr="007A52B5">
              <w:rPr>
                <w:rFonts w:ascii="Calibri" w:hAnsi="Calibri" w:cs="Arial"/>
              </w:rPr>
              <w:t xml:space="preserve"> damage to any part of the </w:t>
            </w:r>
            <w:r>
              <w:rPr>
                <w:rFonts w:ascii="Calibri" w:hAnsi="Calibri" w:cs="Arial"/>
              </w:rPr>
              <w:t xml:space="preserve">University </w:t>
            </w:r>
            <w:r w:rsidRPr="007A52B5">
              <w:rPr>
                <w:rFonts w:ascii="Calibri" w:hAnsi="Calibri" w:cs="Arial"/>
              </w:rPr>
              <w:t>College or grounds will be required to pay for the damage caused.</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3.2.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It is a criminal offence to interfere with fire appliances, apparatus, alarms or other protection equipment.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4.</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ALCOHOL</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4.1.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No student will be permitted to attend timetabled classes, assessments or other curriculum related activities where it is suspected that they are under the influence of alcohol.</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5.</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DRUGS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5.1.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It is a criminal offence and strictly forbidden to supply, use or possess any prohibited substances, or to introduce drugs into the </w:t>
            </w:r>
            <w:r>
              <w:rPr>
                <w:rFonts w:ascii="Calibri" w:hAnsi="Calibri" w:cs="Arial"/>
              </w:rPr>
              <w:t xml:space="preserve">University </w:t>
            </w:r>
            <w:r w:rsidRPr="007A52B5">
              <w:rPr>
                <w:rFonts w:ascii="Calibri" w:hAnsi="Calibri" w:cs="Arial"/>
              </w:rPr>
              <w:t>College.  The use of cannabis is not permitted in bedrooms or anywhere in the halls of residence or student campus.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6.</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WEAPONS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The only weapons permitted at the </w:t>
            </w:r>
            <w:r>
              <w:rPr>
                <w:rFonts w:ascii="Calibri" w:hAnsi="Calibri" w:cs="Arial"/>
              </w:rPr>
              <w:t xml:space="preserve">University </w:t>
            </w:r>
            <w:r w:rsidRPr="007A52B5">
              <w:rPr>
                <w:rFonts w:ascii="Calibri" w:hAnsi="Calibri" w:cs="Arial"/>
              </w:rPr>
              <w:t xml:space="preserve">College are licensed shotguns for use with the </w:t>
            </w:r>
            <w:r>
              <w:rPr>
                <w:rFonts w:ascii="Calibri" w:hAnsi="Calibri" w:cs="Arial"/>
              </w:rPr>
              <w:t xml:space="preserve">University </w:t>
            </w:r>
            <w:r w:rsidRPr="007A52B5">
              <w:rPr>
                <w:rFonts w:ascii="Calibri" w:hAnsi="Calibri" w:cs="Arial"/>
              </w:rPr>
              <w:t>College’s Clay Pigeon Club.</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All firearms and ammunition must be stored in the </w:t>
            </w:r>
            <w:r>
              <w:rPr>
                <w:rFonts w:ascii="Calibri" w:hAnsi="Calibri" w:cs="Arial"/>
              </w:rPr>
              <w:t xml:space="preserve">University </w:t>
            </w:r>
            <w:r w:rsidRPr="007A52B5">
              <w:rPr>
                <w:rFonts w:ascii="Calibri" w:hAnsi="Calibri" w:cs="Arial"/>
              </w:rPr>
              <w:t>College's gun cabinet at all times when not in use in the club's activities.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6.3.</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Under no circumstances may guns be kept in student bedrooms or in vehicles on the campus.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363" w:type="dxa"/>
            <w:gridSpan w:val="2"/>
          </w:tcPr>
          <w:p w:rsidR="002C345F" w:rsidRPr="007A52B5" w:rsidRDefault="002C345F" w:rsidP="00596796">
            <w:pPr>
              <w:jc w:val="both"/>
              <w:rPr>
                <w:rFonts w:ascii="Calibri" w:hAnsi="Calibri" w:cs="Arial"/>
                <w:b/>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363" w:type="dxa"/>
            <w:gridSpan w:val="2"/>
          </w:tcPr>
          <w:p w:rsidR="002C345F" w:rsidRPr="007A52B5" w:rsidRDefault="002C345F" w:rsidP="00596796">
            <w:pPr>
              <w:jc w:val="both"/>
              <w:rPr>
                <w:rFonts w:ascii="Calibri" w:hAnsi="Calibri" w:cs="Arial"/>
                <w:b/>
              </w:rPr>
            </w:pPr>
            <w:r w:rsidRPr="007A52B5">
              <w:rPr>
                <w:rFonts w:ascii="Calibri" w:hAnsi="Calibri" w:cs="Arial"/>
                <w:b/>
              </w:rPr>
              <w:t>Bladed Articles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363" w:type="dxa"/>
            <w:gridSpan w:val="2"/>
          </w:tcPr>
          <w:p w:rsidR="002C345F" w:rsidRPr="007A52B5" w:rsidRDefault="002C345F" w:rsidP="00596796">
            <w:pPr>
              <w:jc w:val="both"/>
              <w:rPr>
                <w:rFonts w:ascii="Calibri" w:hAnsi="Calibri" w:cs="Arial"/>
                <w:b/>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6.4.</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The definition of a blade is any type of blade with a handle, including scissors – these articles may be an essential tool used as part of your course practical.</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6.5.</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Where students need to use bladed articles such as blades with handles, safety knives or scissors, they must do so in a safe manner.</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6.6.</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Where bladed articles are an essential part of a course practical, they must be kept in a locked workbox whilst not in use.</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363" w:type="dxa"/>
            <w:gridSpan w:val="2"/>
          </w:tcPr>
          <w:p w:rsidR="002C345F" w:rsidRPr="007A52B5" w:rsidRDefault="002C345F" w:rsidP="00596796">
            <w:pPr>
              <w:jc w:val="both"/>
              <w:rPr>
                <w:rFonts w:ascii="Calibri" w:hAnsi="Calibri" w:cs="Arial"/>
                <w:b/>
              </w:rPr>
            </w:pPr>
            <w:r w:rsidRPr="007A52B5">
              <w:rPr>
                <w:rFonts w:ascii="Calibri" w:hAnsi="Calibri" w:cs="Arial"/>
                <w:b/>
              </w:rPr>
              <w:t>Guns and Blades – Offensive Weapons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363" w:type="dxa"/>
            <w:gridSpan w:val="2"/>
          </w:tcPr>
          <w:p w:rsidR="002C345F" w:rsidRPr="007A52B5" w:rsidRDefault="002C345F" w:rsidP="00596796">
            <w:pPr>
              <w:jc w:val="both"/>
              <w:rPr>
                <w:rFonts w:ascii="Calibri" w:hAnsi="Calibri" w:cs="Arial"/>
                <w:b/>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6.7.</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Any knives, bladed article with a handle, scissors or similar tools, being carried or used in a threatening manner will be deemed as an offensive weapon.</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6.8.</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Any bladed article which is not a safety blade, or any items such as BB guns, air guns, catapults etc., which is not a tool required as part of a course practical will not be permitted on campus.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7.</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DRESS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7.1.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Dress must be adequate and suitable at all times when on the </w:t>
            </w:r>
            <w:r>
              <w:rPr>
                <w:rFonts w:ascii="Calibri" w:hAnsi="Calibri" w:cs="Arial"/>
              </w:rPr>
              <w:t xml:space="preserve">University </w:t>
            </w:r>
            <w:r w:rsidRPr="007A52B5">
              <w:rPr>
                <w:rFonts w:ascii="Calibri" w:hAnsi="Calibri" w:cs="Arial"/>
              </w:rPr>
              <w:t xml:space="preserve">College campus, in the </w:t>
            </w:r>
            <w:r>
              <w:rPr>
                <w:rFonts w:ascii="Calibri" w:hAnsi="Calibri" w:cs="Arial"/>
              </w:rPr>
              <w:t xml:space="preserve">University </w:t>
            </w:r>
            <w:r w:rsidRPr="007A52B5">
              <w:rPr>
                <w:rFonts w:ascii="Calibri" w:hAnsi="Calibri" w:cs="Arial"/>
              </w:rPr>
              <w:t xml:space="preserve">College buildings and when attending all forms of instruction and assessment.  Students deemed not to be appropriately attired will be excluded from classes, assessments and from entering </w:t>
            </w:r>
            <w:r>
              <w:rPr>
                <w:rFonts w:ascii="Calibri" w:hAnsi="Calibri" w:cs="Arial"/>
              </w:rPr>
              <w:t xml:space="preserve">University </w:t>
            </w:r>
            <w:r w:rsidRPr="007A52B5">
              <w:rPr>
                <w:rFonts w:ascii="Calibri" w:hAnsi="Calibri" w:cs="Arial"/>
              </w:rPr>
              <w:t>College dining facilities.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7.2.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Students attending </w:t>
            </w:r>
            <w:r>
              <w:rPr>
                <w:rFonts w:ascii="Calibri" w:hAnsi="Calibri" w:cs="Arial"/>
              </w:rPr>
              <w:t xml:space="preserve">University </w:t>
            </w:r>
            <w:r w:rsidRPr="007A52B5">
              <w:rPr>
                <w:rFonts w:ascii="Calibri" w:hAnsi="Calibri" w:cs="Arial"/>
              </w:rPr>
              <w:t xml:space="preserve">College receptions and presentation events, and when presenting themselves to External Examiners, Verifiers and potential employers are reminded of the importance of being appropriately and smartly dressed.  In these situations students are not only representing themselves but also the </w:t>
            </w:r>
            <w:r>
              <w:rPr>
                <w:rFonts w:ascii="Calibri" w:hAnsi="Calibri" w:cs="Arial"/>
              </w:rPr>
              <w:t xml:space="preserve">University </w:t>
            </w:r>
            <w:r w:rsidRPr="007A52B5">
              <w:rPr>
                <w:rFonts w:ascii="Calibri" w:hAnsi="Calibri" w:cs="Arial"/>
              </w:rPr>
              <w:t>College.</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7.3.</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Appropriate protective clothing and personal protective equipment in accordance with </w:t>
            </w:r>
            <w:r>
              <w:rPr>
                <w:rFonts w:ascii="Calibri" w:hAnsi="Calibri" w:cs="Arial"/>
              </w:rPr>
              <w:t xml:space="preserve">University </w:t>
            </w:r>
            <w:r w:rsidRPr="007A52B5">
              <w:rPr>
                <w:rFonts w:ascii="Calibri" w:hAnsi="Calibri" w:cs="Arial"/>
              </w:rPr>
              <w:t>College codes of safe practice and/or as directed by the member of staff in charge of the activity, must be worn at all times when engaged in practical activities.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8.</w:t>
            </w:r>
          </w:p>
        </w:tc>
        <w:tc>
          <w:tcPr>
            <w:tcW w:w="8363" w:type="dxa"/>
            <w:gridSpan w:val="2"/>
          </w:tcPr>
          <w:p w:rsidR="002C345F" w:rsidRPr="007A52B5" w:rsidRDefault="002C345F" w:rsidP="00596796">
            <w:pPr>
              <w:jc w:val="both"/>
              <w:rPr>
                <w:rFonts w:ascii="Calibri" w:hAnsi="Calibri" w:cs="Arial"/>
              </w:rPr>
            </w:pPr>
            <w:r w:rsidRPr="007A52B5">
              <w:rPr>
                <w:rFonts w:ascii="Calibri" w:hAnsi="Calibri" w:cs="Arial"/>
                <w:b/>
              </w:rPr>
              <w:t>VISITORS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8.1.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Students will be held personally responsible for the actions of any visitors they invite to the </w:t>
            </w:r>
            <w:r>
              <w:rPr>
                <w:rFonts w:ascii="Calibri" w:hAnsi="Calibri" w:cs="Arial"/>
              </w:rPr>
              <w:t xml:space="preserve">University </w:t>
            </w:r>
            <w:r w:rsidRPr="007A52B5">
              <w:rPr>
                <w:rFonts w:ascii="Calibri" w:hAnsi="Calibri" w:cs="Arial"/>
              </w:rPr>
              <w:t xml:space="preserve">College.  </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9.</w:t>
            </w:r>
          </w:p>
        </w:tc>
        <w:tc>
          <w:tcPr>
            <w:tcW w:w="8363" w:type="dxa"/>
            <w:gridSpan w:val="2"/>
          </w:tcPr>
          <w:p w:rsidR="002C345F" w:rsidRPr="007A52B5" w:rsidRDefault="002C345F" w:rsidP="00596796">
            <w:pPr>
              <w:rPr>
                <w:rFonts w:ascii="Calibri" w:hAnsi="Calibri" w:cs="Arial"/>
              </w:rPr>
            </w:pPr>
            <w:r w:rsidRPr="007A52B5">
              <w:rPr>
                <w:rFonts w:ascii="Calibri" w:hAnsi="Calibri" w:cs="Arial"/>
                <w:b/>
              </w:rPr>
              <w:t xml:space="preserve">COPYRIGHT, COMPUTER SYSTEMS, COMPUTER SOFTWARE </w:t>
            </w:r>
            <w:smartTag w:uri="urn:schemas-microsoft-com:office:smarttags" w:element="stockticker">
              <w:r w:rsidRPr="007A52B5">
                <w:rPr>
                  <w:rFonts w:ascii="Calibri" w:hAnsi="Calibri" w:cs="Arial"/>
                  <w:b/>
                </w:rPr>
                <w:t>AND</w:t>
              </w:r>
            </w:smartTag>
            <w:r w:rsidRPr="007A52B5">
              <w:rPr>
                <w:rFonts w:ascii="Calibri" w:hAnsi="Calibri" w:cs="Arial"/>
                <w:b/>
              </w:rPr>
              <w:t xml:space="preserve"> LIBRARY BOOKS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9.1.</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Students must abide by the Information Services Usage Policy.</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9.2.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The </w:t>
            </w:r>
            <w:r>
              <w:rPr>
                <w:rFonts w:ascii="Calibri" w:hAnsi="Calibri" w:cs="Arial"/>
              </w:rPr>
              <w:t xml:space="preserve">University </w:t>
            </w:r>
            <w:r w:rsidRPr="007A52B5">
              <w:rPr>
                <w:rFonts w:ascii="Calibri" w:hAnsi="Calibri" w:cs="Arial"/>
              </w:rPr>
              <w:t xml:space="preserve">College is an authorised user of proprietary software for computers.  Any student found to have illegally copied any licensed software will face disciplinary action and possible legal proceedings.  </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9.3.</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Students must abide by the copyright legislation when using </w:t>
            </w:r>
            <w:r>
              <w:rPr>
                <w:rFonts w:ascii="Calibri" w:hAnsi="Calibri" w:cs="Arial"/>
              </w:rPr>
              <w:t xml:space="preserve">University </w:t>
            </w:r>
            <w:r w:rsidRPr="007A52B5">
              <w:rPr>
                <w:rFonts w:ascii="Calibri" w:hAnsi="Calibri" w:cs="Arial"/>
              </w:rPr>
              <w:t xml:space="preserve">College photocopiers and other reproduction equipment.  The </w:t>
            </w:r>
            <w:r>
              <w:rPr>
                <w:rFonts w:ascii="Calibri" w:hAnsi="Calibri" w:cs="Arial"/>
              </w:rPr>
              <w:t xml:space="preserve">University </w:t>
            </w:r>
            <w:r w:rsidRPr="007A52B5">
              <w:rPr>
                <w:rFonts w:ascii="Calibri" w:hAnsi="Calibri" w:cs="Arial"/>
              </w:rPr>
              <w:t xml:space="preserve">College Copyright Policy can be found on the </w:t>
            </w:r>
            <w:r>
              <w:rPr>
                <w:rFonts w:ascii="Calibri" w:hAnsi="Calibri" w:cs="Arial"/>
              </w:rPr>
              <w:t xml:space="preserve">University </w:t>
            </w:r>
            <w:r w:rsidRPr="007A52B5">
              <w:rPr>
                <w:rFonts w:ascii="Calibri" w:hAnsi="Calibri" w:cs="Arial"/>
              </w:rPr>
              <w:t>College Student Intranet.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9.4.</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Students must not damage library books or periodicals or electronically retrievable data sources.  </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r w:rsidRPr="007A52B5">
              <w:rPr>
                <w:rFonts w:ascii="Calibri" w:hAnsi="Calibri" w:cs="Arial"/>
              </w:rPr>
              <w:t>10.</w:t>
            </w:r>
          </w:p>
        </w:tc>
        <w:tc>
          <w:tcPr>
            <w:tcW w:w="8363" w:type="dxa"/>
            <w:gridSpan w:val="2"/>
          </w:tcPr>
          <w:p w:rsidR="002C345F" w:rsidRPr="007A52B5" w:rsidRDefault="002C345F" w:rsidP="00596796">
            <w:pPr>
              <w:jc w:val="both"/>
              <w:rPr>
                <w:rFonts w:ascii="Calibri" w:hAnsi="Calibri" w:cs="Arial"/>
              </w:rPr>
            </w:pPr>
            <w:smartTag w:uri="urn:schemas-microsoft-com:office:smarttags" w:element="stockticker">
              <w:r w:rsidRPr="007A52B5">
                <w:rPr>
                  <w:rFonts w:ascii="Calibri" w:hAnsi="Calibri" w:cs="Arial"/>
                  <w:b/>
                </w:rPr>
                <w:t>DATA</w:t>
              </w:r>
            </w:smartTag>
            <w:r w:rsidRPr="007A52B5">
              <w:rPr>
                <w:rFonts w:ascii="Calibri" w:hAnsi="Calibri" w:cs="Arial"/>
                <w:b/>
              </w:rPr>
              <w:t xml:space="preserve"> PROTECTION</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10.1.</w:t>
            </w:r>
          </w:p>
        </w:tc>
        <w:tc>
          <w:tcPr>
            <w:tcW w:w="7512" w:type="dxa"/>
            <w:tcBorders>
              <w:left w:val="nil"/>
            </w:tcBorders>
          </w:tcPr>
          <w:p w:rsidR="002C345F" w:rsidRPr="007A52B5" w:rsidRDefault="002C345F" w:rsidP="00AE494C">
            <w:pPr>
              <w:jc w:val="both"/>
              <w:rPr>
                <w:rFonts w:ascii="Calibri" w:hAnsi="Calibri" w:cs="Arial"/>
              </w:rPr>
            </w:pPr>
            <w:r w:rsidRPr="007A52B5">
              <w:rPr>
                <w:rFonts w:ascii="Calibri" w:hAnsi="Calibri" w:cs="Arial"/>
              </w:rPr>
              <w:t xml:space="preserve">The </w:t>
            </w:r>
            <w:r>
              <w:rPr>
                <w:rFonts w:ascii="Calibri" w:hAnsi="Calibri" w:cs="Arial"/>
              </w:rPr>
              <w:t xml:space="preserve">University </w:t>
            </w:r>
            <w:r w:rsidRPr="007A52B5">
              <w:rPr>
                <w:rFonts w:ascii="Calibri" w:hAnsi="Calibri" w:cs="Arial"/>
              </w:rPr>
              <w:t xml:space="preserve">College is registered under the Data Protection Act 1998.  Students wishing to make a Data Subject Access request should contact the </w:t>
            </w:r>
            <w:r w:rsidR="00AE494C">
              <w:rPr>
                <w:rFonts w:ascii="Calibri" w:hAnsi="Calibri" w:cs="Arial"/>
              </w:rPr>
              <w:t>College Data Protection Officer</w:t>
            </w:r>
            <w:r w:rsidRPr="007A52B5">
              <w:rPr>
                <w:rFonts w:ascii="Calibri" w:hAnsi="Calibri" w:cs="Arial"/>
              </w:rPr>
              <w: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10.2.</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Any accidental or other apparent violation of the Data Protection Act must be reported to the </w:t>
            </w:r>
            <w:r>
              <w:rPr>
                <w:rFonts w:ascii="Calibri" w:hAnsi="Calibri" w:cs="Arial"/>
              </w:rPr>
              <w:t xml:space="preserve">University </w:t>
            </w:r>
            <w:r w:rsidR="00AE494C">
              <w:rPr>
                <w:rFonts w:ascii="Calibri" w:hAnsi="Calibri" w:cs="Arial"/>
              </w:rPr>
              <w:t>College Data Protection Officer</w:t>
            </w:r>
            <w:r w:rsidR="00AE494C" w:rsidRPr="007A52B5">
              <w:rPr>
                <w:rFonts w:ascii="Calibri" w:hAnsi="Calibri" w:cs="Arial"/>
              </w:rPr>
              <w:t xml:space="preserve"> </w:t>
            </w:r>
            <w:r w:rsidRPr="007A52B5">
              <w:rPr>
                <w:rFonts w:ascii="Calibri" w:hAnsi="Calibri" w:cs="Arial"/>
              </w:rPr>
              <w:t>where full details of the Act may be obtained.</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10.3.</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Each student must </w:t>
            </w:r>
            <w:proofErr w:type="spellStart"/>
            <w:r w:rsidRPr="007A52B5">
              <w:rPr>
                <w:rFonts w:ascii="Calibri" w:hAnsi="Calibri" w:cs="Arial"/>
              </w:rPr>
              <w:t>utilise</w:t>
            </w:r>
            <w:proofErr w:type="spellEnd"/>
            <w:r w:rsidRPr="007A52B5">
              <w:rPr>
                <w:rFonts w:ascii="Calibri" w:hAnsi="Calibri" w:cs="Arial"/>
              </w:rPr>
              <w:t xml:space="preserve"> data sources in a responsible manner, with due regard to the law, and with consideration to the work and privacy of other users.</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r w:rsidRPr="007A52B5">
              <w:rPr>
                <w:rFonts w:ascii="Calibri" w:hAnsi="Calibri" w:cs="Arial"/>
              </w:rPr>
              <w:t>10.4.</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A copy of the college Data Protection Policy can be obtained from the </w:t>
            </w:r>
            <w:r>
              <w:rPr>
                <w:rFonts w:ascii="Calibri" w:hAnsi="Calibri" w:cs="Arial"/>
              </w:rPr>
              <w:t xml:space="preserve">University </w:t>
            </w:r>
            <w:r w:rsidR="00AE494C">
              <w:rPr>
                <w:rFonts w:ascii="Calibri" w:hAnsi="Calibri" w:cs="Arial"/>
              </w:rPr>
              <w:t>College Data Protection Officer</w:t>
            </w:r>
            <w:r w:rsidRPr="007A52B5">
              <w:rPr>
                <w:rFonts w:ascii="Calibri" w:hAnsi="Calibri" w:cs="Arial"/>
              </w:rPr>
              <w:t xml:space="preserve">, or downloaded from the </w:t>
            </w:r>
            <w:r>
              <w:rPr>
                <w:rFonts w:ascii="Calibri" w:hAnsi="Calibri" w:cs="Arial"/>
              </w:rPr>
              <w:t xml:space="preserve">University </w:t>
            </w:r>
            <w:r w:rsidRPr="007A52B5">
              <w:rPr>
                <w:rFonts w:ascii="Calibri" w:hAnsi="Calibri" w:cs="Arial"/>
              </w:rPr>
              <w:t>College Student Intranet.</w:t>
            </w:r>
          </w:p>
        </w:tc>
      </w:tr>
      <w:tr w:rsidR="002C345F" w:rsidRPr="007A52B5" w:rsidTr="00596796">
        <w:tc>
          <w:tcPr>
            <w:tcW w:w="817" w:type="dxa"/>
          </w:tcPr>
          <w:p w:rsidR="002C345F" w:rsidRPr="007A52B5" w:rsidRDefault="002C345F" w:rsidP="00596796">
            <w:pPr>
              <w:jc w:val="both"/>
              <w:rPr>
                <w:rFonts w:ascii="Calibri" w:hAnsi="Calibri" w:cs="Arial"/>
              </w:rPr>
            </w:pPr>
          </w:p>
        </w:tc>
        <w:tc>
          <w:tcPr>
            <w:tcW w:w="851" w:type="dxa"/>
          </w:tcPr>
          <w:p w:rsidR="002C345F" w:rsidRPr="007A52B5" w:rsidRDefault="002C345F" w:rsidP="00596796">
            <w:pPr>
              <w:jc w:val="both"/>
              <w:rPr>
                <w:rFonts w:ascii="Calibri" w:hAnsi="Calibri" w:cs="Arial"/>
              </w:rPr>
            </w:pPr>
          </w:p>
        </w:tc>
        <w:tc>
          <w:tcPr>
            <w:tcW w:w="7512" w:type="dxa"/>
            <w:tcBorders>
              <w:left w:val="nil"/>
            </w:tcBorders>
          </w:tcPr>
          <w:p w:rsidR="002C345F" w:rsidRPr="007A52B5" w:rsidRDefault="002C345F" w:rsidP="00596796">
            <w:pPr>
              <w:jc w:val="both"/>
              <w:rPr>
                <w:rFonts w:ascii="Calibri" w:hAnsi="Calibri" w:cs="Arial"/>
              </w:rPr>
            </w:pPr>
          </w:p>
        </w:tc>
      </w:tr>
      <w:tr w:rsidR="002C345F" w:rsidRPr="007A52B5" w:rsidTr="00596796">
        <w:tc>
          <w:tcPr>
            <w:tcW w:w="1668" w:type="dxa"/>
            <w:gridSpan w:val="2"/>
          </w:tcPr>
          <w:p w:rsidR="002C345F" w:rsidRPr="007A52B5" w:rsidRDefault="002C345F" w:rsidP="00596796">
            <w:pPr>
              <w:jc w:val="right"/>
              <w:rPr>
                <w:rFonts w:ascii="Calibri" w:hAnsi="Calibri" w:cs="Arial"/>
              </w:rPr>
            </w:pPr>
            <w:r w:rsidRPr="007A52B5">
              <w:rPr>
                <w:rFonts w:ascii="Calibri" w:hAnsi="Calibri" w:cs="Arial"/>
                <w:b/>
              </w:rPr>
              <w:t>NOTE:</w:t>
            </w: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Separate regulations apply to:</w:t>
            </w:r>
          </w:p>
        </w:tc>
      </w:tr>
      <w:tr w:rsidR="002C345F" w:rsidRPr="007A52B5" w:rsidTr="00596796">
        <w:tc>
          <w:tcPr>
            <w:tcW w:w="1668" w:type="dxa"/>
            <w:gridSpan w:val="2"/>
          </w:tcPr>
          <w:p w:rsidR="002C345F" w:rsidRPr="007A52B5" w:rsidRDefault="002C345F" w:rsidP="00596796">
            <w:pPr>
              <w:jc w:val="both"/>
              <w:rPr>
                <w:rFonts w:ascii="Calibri" w:hAnsi="Calibri" w:cs="Arial"/>
                <w:b/>
              </w:rPr>
            </w:pPr>
          </w:p>
        </w:tc>
        <w:tc>
          <w:tcPr>
            <w:tcW w:w="7512" w:type="dxa"/>
            <w:tcBorders>
              <w:left w:val="nil"/>
            </w:tcBorders>
          </w:tcPr>
          <w:p w:rsidR="002C345F" w:rsidRPr="007A52B5" w:rsidRDefault="002C345F" w:rsidP="00596796">
            <w:pPr>
              <w:jc w:val="both"/>
              <w:rPr>
                <w:rFonts w:ascii="Calibri" w:hAnsi="Calibri" w:cs="Arial"/>
              </w:rPr>
            </w:pPr>
            <w:r w:rsidRPr="007A52B5">
              <w:rPr>
                <w:rFonts w:ascii="Calibri" w:hAnsi="Calibri" w:cs="Arial"/>
              </w:rPr>
              <w:t xml:space="preserve">- Students Resident in </w:t>
            </w:r>
            <w:r>
              <w:rPr>
                <w:rFonts w:ascii="Calibri" w:hAnsi="Calibri" w:cs="Arial"/>
              </w:rPr>
              <w:t xml:space="preserve">University </w:t>
            </w:r>
            <w:r w:rsidRPr="007A52B5">
              <w:rPr>
                <w:rFonts w:ascii="Calibri" w:hAnsi="Calibri" w:cs="Arial"/>
              </w:rPr>
              <w:t>College Halls</w:t>
            </w:r>
          </w:p>
        </w:tc>
      </w:tr>
      <w:tr w:rsidR="002C345F" w:rsidRPr="007A52B5" w:rsidTr="00596796">
        <w:tc>
          <w:tcPr>
            <w:tcW w:w="1668" w:type="dxa"/>
            <w:gridSpan w:val="2"/>
          </w:tcPr>
          <w:p w:rsidR="002C345F" w:rsidRPr="007A52B5" w:rsidRDefault="002C345F" w:rsidP="00596796">
            <w:pPr>
              <w:spacing w:after="120"/>
              <w:jc w:val="both"/>
              <w:rPr>
                <w:rFonts w:ascii="Calibri" w:hAnsi="Calibri" w:cs="Arial"/>
                <w:b/>
              </w:rPr>
            </w:pPr>
          </w:p>
        </w:tc>
        <w:tc>
          <w:tcPr>
            <w:tcW w:w="7512" w:type="dxa"/>
            <w:tcBorders>
              <w:left w:val="nil"/>
            </w:tcBorders>
          </w:tcPr>
          <w:p w:rsidR="002C345F" w:rsidRPr="007A52B5" w:rsidRDefault="002C345F" w:rsidP="00596796">
            <w:pPr>
              <w:spacing w:after="120"/>
              <w:jc w:val="both"/>
              <w:rPr>
                <w:rFonts w:ascii="Calibri" w:hAnsi="Calibri" w:cs="Arial"/>
              </w:rPr>
            </w:pPr>
            <w:r w:rsidRPr="007A52B5">
              <w:rPr>
                <w:rFonts w:ascii="Calibri" w:hAnsi="Calibri" w:cs="Arial"/>
              </w:rPr>
              <w:t xml:space="preserve">- Motor vehicles brought to the </w:t>
            </w:r>
            <w:r>
              <w:rPr>
                <w:rFonts w:ascii="Calibri" w:hAnsi="Calibri" w:cs="Arial"/>
              </w:rPr>
              <w:t xml:space="preserve">University </w:t>
            </w:r>
            <w:r w:rsidRPr="007A52B5">
              <w:rPr>
                <w:rFonts w:ascii="Calibri" w:hAnsi="Calibri" w:cs="Arial"/>
              </w:rPr>
              <w:t>College</w:t>
            </w:r>
          </w:p>
        </w:tc>
      </w:tr>
    </w:tbl>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br w:type="page"/>
      </w:r>
    </w:p>
    <w:p w:rsidR="00D458E2" w:rsidRDefault="00D458E2" w:rsidP="00AF55D6">
      <w:pPr>
        <w:pBdr>
          <w:bottom w:val="single" w:sz="12" w:space="1" w:color="auto"/>
        </w:pBdr>
        <w:jc w:val="both"/>
        <w:rPr>
          <w:rFonts w:asciiTheme="majorHAnsi" w:hAnsiTheme="majorHAnsi"/>
        </w:rPr>
      </w:pPr>
    </w:p>
    <w:p w:rsidR="00D458E2" w:rsidRDefault="00D458E2"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w:t>
      </w:r>
      <w:r w:rsidR="00AE494C">
        <w:rPr>
          <w:rFonts w:asciiTheme="majorHAnsi" w:hAnsiTheme="majorHAnsi"/>
        </w:rPr>
        <w:t>ill be notified via the website</w:t>
      </w:r>
      <w:r w:rsidRPr="00AF55D6">
        <w:rPr>
          <w:rFonts w:asciiTheme="majorHAnsi" w:hAnsiTheme="majorHAnsi"/>
        </w:rPr>
        <w:t xml:space="preserve"> or by email.  </w:t>
      </w: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rsidR="00AF55D6" w:rsidRDefault="00AF55D6">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Pr>
      <w:tblGrid>
        <w:gridCol w:w="1951"/>
        <w:gridCol w:w="6521"/>
        <w:gridCol w:w="2268"/>
      </w:tblGrid>
      <w:tr w:rsidR="00AF55D6" w:rsidRPr="00AF55D6" w:rsidTr="00AF55D6">
        <w:tc>
          <w:tcPr>
            <w:tcW w:w="195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rsidTr="00AF55D6">
        <w:tc>
          <w:tcPr>
            <w:tcW w:w="1951" w:type="dxa"/>
          </w:tcPr>
          <w:p w:rsidR="00AF55D6" w:rsidRPr="00AF55D6" w:rsidRDefault="002C345F" w:rsidP="00AF55D6">
            <w:pPr>
              <w:jc w:val="both"/>
              <w:rPr>
                <w:rFonts w:asciiTheme="majorHAnsi" w:hAnsiTheme="majorHAnsi"/>
                <w:lang w:val="en-GB"/>
              </w:rPr>
            </w:pPr>
            <w:r>
              <w:rPr>
                <w:rFonts w:asciiTheme="majorHAnsi" w:hAnsiTheme="majorHAnsi"/>
                <w:lang w:val="en-GB"/>
              </w:rPr>
              <w:t>2.1</w:t>
            </w:r>
          </w:p>
        </w:tc>
        <w:tc>
          <w:tcPr>
            <w:tcW w:w="6521" w:type="dxa"/>
          </w:tcPr>
          <w:p w:rsidR="00AF55D6" w:rsidRPr="00AF55D6" w:rsidRDefault="002C345F" w:rsidP="00AF55D6">
            <w:pPr>
              <w:jc w:val="both"/>
              <w:rPr>
                <w:rFonts w:asciiTheme="majorHAnsi" w:hAnsiTheme="majorHAnsi"/>
                <w:lang w:val="en-GB"/>
              </w:rPr>
            </w:pPr>
            <w:r>
              <w:rPr>
                <w:rFonts w:asciiTheme="majorHAnsi" w:hAnsiTheme="majorHAnsi"/>
                <w:lang w:val="en-GB"/>
              </w:rPr>
              <w:t>Updated for 2016/17</w:t>
            </w:r>
          </w:p>
        </w:tc>
        <w:tc>
          <w:tcPr>
            <w:tcW w:w="2268" w:type="dxa"/>
          </w:tcPr>
          <w:p w:rsidR="00AF55D6" w:rsidRPr="00AF55D6" w:rsidRDefault="002C345F" w:rsidP="00AF55D6">
            <w:pPr>
              <w:jc w:val="both"/>
              <w:rPr>
                <w:rFonts w:asciiTheme="majorHAnsi" w:hAnsiTheme="majorHAnsi"/>
                <w:lang w:val="en-GB"/>
              </w:rPr>
            </w:pPr>
            <w:r>
              <w:rPr>
                <w:rFonts w:asciiTheme="majorHAnsi" w:hAnsiTheme="majorHAnsi"/>
                <w:lang w:val="en-GB"/>
              </w:rPr>
              <w:t>01/08/2016</w:t>
            </w:r>
          </w:p>
        </w:tc>
      </w:tr>
      <w:tr w:rsidR="00AF55D6" w:rsidRPr="00AF55D6" w:rsidTr="00AF55D6">
        <w:tc>
          <w:tcPr>
            <w:tcW w:w="1951" w:type="dxa"/>
          </w:tcPr>
          <w:p w:rsidR="00AF55D6" w:rsidRPr="00AF55D6" w:rsidRDefault="00620834" w:rsidP="00AF55D6">
            <w:pPr>
              <w:jc w:val="both"/>
              <w:rPr>
                <w:rFonts w:asciiTheme="majorHAnsi" w:hAnsiTheme="majorHAnsi"/>
                <w:lang w:val="en-GB"/>
              </w:rPr>
            </w:pPr>
            <w:r>
              <w:rPr>
                <w:rFonts w:asciiTheme="majorHAnsi" w:hAnsiTheme="majorHAnsi"/>
                <w:lang w:val="en-GB"/>
              </w:rPr>
              <w:t>2.2</w:t>
            </w:r>
          </w:p>
        </w:tc>
        <w:tc>
          <w:tcPr>
            <w:tcW w:w="6521" w:type="dxa"/>
          </w:tcPr>
          <w:p w:rsidR="00AF55D6" w:rsidRPr="00AF55D6" w:rsidRDefault="00620834" w:rsidP="00AF55D6">
            <w:pPr>
              <w:jc w:val="both"/>
              <w:rPr>
                <w:rFonts w:asciiTheme="majorHAnsi" w:hAnsiTheme="majorHAnsi"/>
                <w:lang w:val="en-GB"/>
              </w:rPr>
            </w:pPr>
            <w:r>
              <w:rPr>
                <w:rFonts w:asciiTheme="majorHAnsi" w:hAnsiTheme="majorHAnsi"/>
                <w:lang w:val="en-GB"/>
              </w:rPr>
              <w:t>Updated for 2017/18</w:t>
            </w:r>
          </w:p>
        </w:tc>
        <w:tc>
          <w:tcPr>
            <w:tcW w:w="2268" w:type="dxa"/>
          </w:tcPr>
          <w:p w:rsidR="00AF55D6" w:rsidRPr="00AF55D6" w:rsidRDefault="00F0060C" w:rsidP="00AF55D6">
            <w:pPr>
              <w:jc w:val="both"/>
              <w:rPr>
                <w:rFonts w:asciiTheme="majorHAnsi" w:hAnsiTheme="majorHAnsi"/>
                <w:lang w:val="en-GB"/>
              </w:rPr>
            </w:pPr>
            <w:r>
              <w:rPr>
                <w:rFonts w:asciiTheme="majorHAnsi" w:hAnsiTheme="majorHAnsi"/>
                <w:lang w:val="en-GB"/>
              </w:rPr>
              <w:t>31/07/2017</w:t>
            </w:r>
          </w:p>
        </w:tc>
      </w:tr>
      <w:tr w:rsidR="00AE4F28" w:rsidRPr="00AF55D6" w:rsidTr="00AF55D6">
        <w:tc>
          <w:tcPr>
            <w:tcW w:w="1951" w:type="dxa"/>
          </w:tcPr>
          <w:p w:rsidR="00AE4F28" w:rsidRDefault="00AE4F28" w:rsidP="00AF55D6">
            <w:pPr>
              <w:jc w:val="both"/>
              <w:rPr>
                <w:rFonts w:asciiTheme="majorHAnsi" w:hAnsiTheme="majorHAnsi"/>
                <w:lang w:val="en-GB"/>
              </w:rPr>
            </w:pPr>
            <w:r>
              <w:rPr>
                <w:rFonts w:asciiTheme="majorHAnsi" w:hAnsiTheme="majorHAnsi"/>
                <w:lang w:val="en-GB"/>
              </w:rPr>
              <w:t>2.3</w:t>
            </w:r>
          </w:p>
        </w:tc>
        <w:tc>
          <w:tcPr>
            <w:tcW w:w="6521" w:type="dxa"/>
          </w:tcPr>
          <w:p w:rsidR="00AE4F28" w:rsidRDefault="00AE4F28" w:rsidP="00AF55D6">
            <w:pPr>
              <w:jc w:val="both"/>
              <w:rPr>
                <w:rFonts w:asciiTheme="majorHAnsi" w:hAnsiTheme="majorHAnsi"/>
                <w:lang w:val="en-GB"/>
              </w:rPr>
            </w:pPr>
            <w:r>
              <w:rPr>
                <w:rFonts w:asciiTheme="majorHAnsi" w:hAnsiTheme="majorHAnsi"/>
                <w:lang w:val="en-GB"/>
              </w:rPr>
              <w:t>Updated for 2018/19</w:t>
            </w:r>
          </w:p>
        </w:tc>
        <w:tc>
          <w:tcPr>
            <w:tcW w:w="2268" w:type="dxa"/>
          </w:tcPr>
          <w:p w:rsidR="00AE4F28" w:rsidRDefault="00AE4F28" w:rsidP="00AF55D6">
            <w:pPr>
              <w:jc w:val="both"/>
              <w:rPr>
                <w:rFonts w:asciiTheme="majorHAnsi" w:hAnsiTheme="majorHAnsi"/>
                <w:lang w:val="en-GB"/>
              </w:rPr>
            </w:pPr>
            <w:r>
              <w:rPr>
                <w:rFonts w:asciiTheme="majorHAnsi" w:hAnsiTheme="majorHAnsi"/>
                <w:lang w:val="en-GB"/>
              </w:rPr>
              <w:t>09/07/2018</w:t>
            </w:r>
          </w:p>
        </w:tc>
      </w:tr>
      <w:tr w:rsidR="00AE494C" w:rsidRPr="00AF55D6" w:rsidTr="00AF55D6">
        <w:tc>
          <w:tcPr>
            <w:tcW w:w="1951" w:type="dxa"/>
          </w:tcPr>
          <w:p w:rsidR="00AE494C" w:rsidRDefault="00AE494C" w:rsidP="00AF55D6">
            <w:pPr>
              <w:jc w:val="both"/>
              <w:rPr>
                <w:rFonts w:asciiTheme="majorHAnsi" w:hAnsiTheme="majorHAnsi"/>
                <w:lang w:val="en-GB"/>
              </w:rPr>
            </w:pPr>
            <w:r>
              <w:rPr>
                <w:rFonts w:asciiTheme="majorHAnsi" w:hAnsiTheme="majorHAnsi"/>
                <w:lang w:val="en-GB"/>
              </w:rPr>
              <w:t>2.4</w:t>
            </w:r>
          </w:p>
        </w:tc>
        <w:tc>
          <w:tcPr>
            <w:tcW w:w="6521" w:type="dxa"/>
          </w:tcPr>
          <w:p w:rsidR="00AE494C" w:rsidRDefault="00AE494C" w:rsidP="00AE494C">
            <w:pPr>
              <w:jc w:val="both"/>
              <w:rPr>
                <w:rFonts w:asciiTheme="majorHAnsi" w:hAnsiTheme="majorHAnsi"/>
                <w:lang w:val="en-GB"/>
              </w:rPr>
            </w:pPr>
            <w:r>
              <w:rPr>
                <w:rFonts w:asciiTheme="majorHAnsi" w:hAnsiTheme="majorHAnsi"/>
                <w:lang w:val="en-GB"/>
              </w:rPr>
              <w:t>Updated for 2019/20</w:t>
            </w:r>
          </w:p>
        </w:tc>
        <w:tc>
          <w:tcPr>
            <w:tcW w:w="2268" w:type="dxa"/>
          </w:tcPr>
          <w:p w:rsidR="00AE494C" w:rsidRDefault="00AE494C" w:rsidP="00AF55D6">
            <w:pPr>
              <w:jc w:val="both"/>
              <w:rPr>
                <w:rFonts w:asciiTheme="majorHAnsi" w:hAnsiTheme="majorHAnsi"/>
                <w:lang w:val="en-GB"/>
              </w:rPr>
            </w:pPr>
            <w:r>
              <w:rPr>
                <w:rFonts w:asciiTheme="majorHAnsi" w:hAnsiTheme="majorHAnsi"/>
                <w:lang w:val="en-GB"/>
              </w:rPr>
              <w:t>05/07/2019</w:t>
            </w:r>
          </w:p>
        </w:tc>
      </w:tr>
      <w:tr w:rsidR="0012183C" w:rsidRPr="00AF55D6" w:rsidTr="00AF55D6">
        <w:tc>
          <w:tcPr>
            <w:tcW w:w="1951" w:type="dxa"/>
          </w:tcPr>
          <w:p w:rsidR="0012183C" w:rsidRDefault="0012183C" w:rsidP="00AF55D6">
            <w:pPr>
              <w:jc w:val="both"/>
              <w:rPr>
                <w:rFonts w:asciiTheme="majorHAnsi" w:hAnsiTheme="majorHAnsi"/>
                <w:lang w:val="en-GB"/>
              </w:rPr>
            </w:pPr>
            <w:r>
              <w:rPr>
                <w:rFonts w:asciiTheme="majorHAnsi" w:hAnsiTheme="majorHAnsi"/>
                <w:lang w:val="en-GB"/>
              </w:rPr>
              <w:t>2.5</w:t>
            </w:r>
          </w:p>
        </w:tc>
        <w:tc>
          <w:tcPr>
            <w:tcW w:w="6521" w:type="dxa"/>
          </w:tcPr>
          <w:p w:rsidR="0012183C" w:rsidRDefault="0012183C" w:rsidP="00AE494C">
            <w:pPr>
              <w:jc w:val="both"/>
              <w:rPr>
                <w:rFonts w:asciiTheme="majorHAnsi" w:hAnsiTheme="majorHAnsi"/>
                <w:lang w:val="en-GB"/>
              </w:rPr>
            </w:pPr>
            <w:r>
              <w:rPr>
                <w:rFonts w:asciiTheme="majorHAnsi" w:hAnsiTheme="majorHAnsi"/>
                <w:lang w:val="en-GB"/>
              </w:rPr>
              <w:t>Updated for 2020/21</w:t>
            </w:r>
          </w:p>
        </w:tc>
        <w:tc>
          <w:tcPr>
            <w:tcW w:w="2268" w:type="dxa"/>
          </w:tcPr>
          <w:p w:rsidR="0012183C" w:rsidRDefault="0012183C" w:rsidP="00AF55D6">
            <w:pPr>
              <w:jc w:val="both"/>
              <w:rPr>
                <w:rFonts w:asciiTheme="majorHAnsi" w:hAnsiTheme="majorHAnsi"/>
                <w:lang w:val="en-GB"/>
              </w:rPr>
            </w:pPr>
            <w:r>
              <w:rPr>
                <w:rFonts w:asciiTheme="majorHAnsi" w:hAnsiTheme="majorHAnsi"/>
                <w:lang w:val="en-GB"/>
              </w:rPr>
              <w:t>20/07/2020</w:t>
            </w:r>
          </w:p>
        </w:tc>
      </w:tr>
    </w:tbl>
    <w:p w:rsidR="00AF55D6" w:rsidRPr="00AF55D6" w:rsidRDefault="00AF55D6">
      <w:pPr>
        <w:jc w:val="both"/>
        <w:rPr>
          <w:rFonts w:asciiTheme="majorHAnsi" w:hAnsiTheme="majorHAnsi"/>
        </w:rPr>
      </w:pPr>
    </w:p>
    <w:sectPr w:rsidR="00AF55D6" w:rsidRPr="00AF55D6" w:rsidSect="00990ED7">
      <w:headerReference w:type="default" r:id="rId10"/>
      <w:footerReference w:type="default" r:id="rId11"/>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D0" w:rsidRDefault="00B523D0" w:rsidP="003D67B3">
      <w:r>
        <w:separator/>
      </w:r>
    </w:p>
  </w:endnote>
  <w:endnote w:type="continuationSeparator" w:id="0">
    <w:p w:rsidR="00B523D0" w:rsidRDefault="00B523D0"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73587B" w:rsidP="009F1392">
    <w:pPr>
      <w:pStyle w:val="Footer"/>
      <w:ind w:left="-567"/>
    </w:pPr>
    <w:r>
      <w:rPr>
        <w:noProof/>
        <w:lang w:val="en-GB" w:eastAsia="en-GB"/>
      </w:rPr>
      <w:drawing>
        <wp:inline distT="0" distB="0" distL="0" distR="0" wp14:anchorId="123009EB">
          <wp:extent cx="7545600" cy="19188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600" cy="191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E" w:rsidRPr="00CD6450" w:rsidRDefault="005C7E4C">
    <w:pPr>
      <w:pStyle w:val="Footer"/>
      <w:rPr>
        <w:rFonts w:asciiTheme="majorHAnsi" w:hAnsiTheme="majorHAnsi"/>
        <w:sz w:val="20"/>
        <w:szCs w:val="20"/>
      </w:rPr>
    </w:pPr>
    <w:r>
      <w:rPr>
        <w:rFonts w:asciiTheme="majorHAnsi" w:hAnsiTheme="majorHAnsi"/>
        <w:sz w:val="20"/>
        <w:szCs w:val="20"/>
      </w:rPr>
      <w:t>General College Regulations 2.</w:t>
    </w:r>
    <w:r w:rsidR="0012183C">
      <w:rPr>
        <w:rFonts w:asciiTheme="majorHAnsi" w:hAnsiTheme="majorHAnsi"/>
        <w:sz w:val="20"/>
        <w:szCs w:val="20"/>
      </w:rPr>
      <w:t>5</w:t>
    </w:r>
  </w:p>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D0" w:rsidRDefault="00B523D0" w:rsidP="003D67B3">
      <w:r>
        <w:separator/>
      </w:r>
    </w:p>
  </w:footnote>
  <w:footnote w:type="continuationSeparator" w:id="0">
    <w:p w:rsidR="00B523D0" w:rsidRDefault="00B523D0"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F622E" w:rsidP="009F1392">
    <w:pPr>
      <w:pStyle w:val="Header"/>
      <w:ind w:left="-567"/>
    </w:pPr>
    <w:r>
      <w:rPr>
        <w:noProof/>
        <w:lang w:val="en-GB" w:eastAsia="en-GB"/>
      </w:rPr>
      <w:drawing>
        <wp:inline distT="0" distB="0" distL="0" distR="0" wp14:anchorId="706AAF48">
          <wp:extent cx="7545600" cy="196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600" cy="1965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7C05"/>
    <w:rsid w:val="00075902"/>
    <w:rsid w:val="0012183C"/>
    <w:rsid w:val="001408F3"/>
    <w:rsid w:val="00174064"/>
    <w:rsid w:val="001C5F3E"/>
    <w:rsid w:val="001D641D"/>
    <w:rsid w:val="0022068F"/>
    <w:rsid w:val="0022469A"/>
    <w:rsid w:val="002662C0"/>
    <w:rsid w:val="00276F82"/>
    <w:rsid w:val="002C345F"/>
    <w:rsid w:val="00301C8D"/>
    <w:rsid w:val="00331F98"/>
    <w:rsid w:val="00344D2D"/>
    <w:rsid w:val="00346A88"/>
    <w:rsid w:val="0035779F"/>
    <w:rsid w:val="0038156C"/>
    <w:rsid w:val="003B26A7"/>
    <w:rsid w:val="003D67B3"/>
    <w:rsid w:val="003E0369"/>
    <w:rsid w:val="00430641"/>
    <w:rsid w:val="004466FB"/>
    <w:rsid w:val="00466BC3"/>
    <w:rsid w:val="004F1EEB"/>
    <w:rsid w:val="00544FAA"/>
    <w:rsid w:val="0055719C"/>
    <w:rsid w:val="005C7E4C"/>
    <w:rsid w:val="005C7EB8"/>
    <w:rsid w:val="00620834"/>
    <w:rsid w:val="006D434B"/>
    <w:rsid w:val="00730557"/>
    <w:rsid w:val="0073587B"/>
    <w:rsid w:val="00746B9D"/>
    <w:rsid w:val="00752894"/>
    <w:rsid w:val="00764DB5"/>
    <w:rsid w:val="007D7315"/>
    <w:rsid w:val="008A12D7"/>
    <w:rsid w:val="00960DE7"/>
    <w:rsid w:val="00963B33"/>
    <w:rsid w:val="009660B6"/>
    <w:rsid w:val="0098781E"/>
    <w:rsid w:val="00990ED7"/>
    <w:rsid w:val="00993948"/>
    <w:rsid w:val="009C7B6D"/>
    <w:rsid w:val="009F1392"/>
    <w:rsid w:val="009F50EB"/>
    <w:rsid w:val="009F622E"/>
    <w:rsid w:val="00A34206"/>
    <w:rsid w:val="00A441BF"/>
    <w:rsid w:val="00AB1D82"/>
    <w:rsid w:val="00AE494C"/>
    <w:rsid w:val="00AE4F28"/>
    <w:rsid w:val="00AF55D6"/>
    <w:rsid w:val="00B5045E"/>
    <w:rsid w:val="00B523D0"/>
    <w:rsid w:val="00BE2283"/>
    <w:rsid w:val="00C1144E"/>
    <w:rsid w:val="00C378B0"/>
    <w:rsid w:val="00CA1C2D"/>
    <w:rsid w:val="00CD6450"/>
    <w:rsid w:val="00D458E2"/>
    <w:rsid w:val="00D969B2"/>
    <w:rsid w:val="00DA5276"/>
    <w:rsid w:val="00DC4F52"/>
    <w:rsid w:val="00E30CEF"/>
    <w:rsid w:val="00E31C91"/>
    <w:rsid w:val="00F0060C"/>
    <w:rsid w:val="00F36A3C"/>
    <w:rsid w:val="00F52253"/>
    <w:rsid w:val="00F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36865"/>
    <o:shapelayout v:ext="edit">
      <o:idmap v:ext="edit" data="1"/>
    </o:shapelayout>
  </w:shapeDefaults>
  <w:decimalSymbol w:val="."/>
  <w:listSeparator w:val=","/>
  <w15:docId w15:val="{A366CBD6-7403-4D2B-8681-9A26597A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FA48-467C-468A-92F8-0784BA6E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2017-07-20T13:03:00Z</cp:lastPrinted>
  <dcterms:created xsi:type="dcterms:W3CDTF">2021-07-20T12:56:00Z</dcterms:created>
  <dcterms:modified xsi:type="dcterms:W3CDTF">2021-07-20T12:56:00Z</dcterms:modified>
</cp:coreProperties>
</file>