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AB672" w14:textId="77777777" w:rsidR="00755244" w:rsidRDefault="00755244" w:rsidP="00F04AC8">
      <w:pPr>
        <w:spacing w:before="120" w:line="276" w:lineRule="auto"/>
        <w:jc w:val="right"/>
        <w:rPr>
          <w:rFonts w:asciiTheme="majorHAnsi" w:hAnsiTheme="majorHAnsi" w:cstheme="majorHAnsi"/>
          <w:b/>
          <w:color w:val="000000" w:themeColor="text1"/>
          <w:sz w:val="44"/>
          <w:szCs w:val="44"/>
          <w:lang w:bidi="en-GB"/>
        </w:rPr>
      </w:pPr>
      <w:bookmarkStart w:id="0" w:name="_GoBack"/>
      <w:bookmarkEnd w:id="0"/>
    </w:p>
    <w:p w14:paraId="24596FCA" w14:textId="77777777" w:rsidR="00755244" w:rsidRDefault="00755244" w:rsidP="00F04AC8">
      <w:pPr>
        <w:spacing w:before="120" w:line="276" w:lineRule="auto"/>
        <w:jc w:val="right"/>
        <w:rPr>
          <w:rFonts w:asciiTheme="majorHAnsi" w:hAnsiTheme="majorHAnsi" w:cstheme="majorHAnsi"/>
          <w:b/>
          <w:color w:val="000000" w:themeColor="text1"/>
          <w:sz w:val="44"/>
          <w:szCs w:val="44"/>
          <w:lang w:bidi="en-GB"/>
        </w:rPr>
      </w:pPr>
    </w:p>
    <w:p w14:paraId="38F4A597" w14:textId="33BD27DA" w:rsidR="00AF55D6" w:rsidRPr="00EC1ED8" w:rsidRDefault="006A3131" w:rsidP="00EC1ED8">
      <w:pPr>
        <w:spacing w:before="120" w:line="276" w:lineRule="auto"/>
        <w:jc w:val="right"/>
        <w:rPr>
          <w:rFonts w:asciiTheme="majorHAnsi" w:hAnsiTheme="majorHAnsi" w:cstheme="majorHAnsi"/>
          <w:b/>
          <w:color w:val="000000" w:themeColor="text1"/>
          <w:sz w:val="44"/>
          <w:szCs w:val="44"/>
          <w:lang w:bidi="en-GB"/>
        </w:rPr>
      </w:pPr>
      <w:r>
        <w:rPr>
          <w:rFonts w:asciiTheme="majorHAnsi" w:hAnsiTheme="majorHAnsi" w:cstheme="majorHAnsi"/>
          <w:b/>
          <w:color w:val="000000" w:themeColor="text1"/>
          <w:sz w:val="44"/>
          <w:szCs w:val="44"/>
          <w:lang w:bidi="en-GB"/>
        </w:rPr>
        <w:t>Foundation Year</w:t>
      </w:r>
      <w:r w:rsidR="00402655">
        <w:rPr>
          <w:rFonts w:asciiTheme="majorHAnsi" w:hAnsiTheme="majorHAnsi" w:cstheme="majorHAnsi"/>
          <w:b/>
          <w:color w:val="000000" w:themeColor="text1"/>
          <w:sz w:val="44"/>
          <w:szCs w:val="44"/>
          <w:lang w:bidi="en-GB"/>
        </w:rPr>
        <w:t xml:space="preserve"> Academic Framework</w:t>
      </w:r>
    </w:p>
    <w:p w14:paraId="1C816122" w14:textId="77777777" w:rsidR="009660B6" w:rsidRPr="00586147" w:rsidRDefault="009660B6" w:rsidP="00586147">
      <w:pPr>
        <w:spacing w:before="120" w:line="276" w:lineRule="auto"/>
        <w:jc w:val="both"/>
        <w:rPr>
          <w:rFonts w:asciiTheme="majorHAnsi" w:hAnsiTheme="majorHAnsi" w:cstheme="majorHAnsi"/>
          <w:b/>
          <w:color w:val="000000" w:themeColor="text1"/>
          <w:szCs w:val="22"/>
        </w:rPr>
      </w:pPr>
    </w:p>
    <w:p w14:paraId="2A780F93" w14:textId="77777777" w:rsidR="009660B6" w:rsidRPr="00586147" w:rsidRDefault="009660B6" w:rsidP="00586147">
      <w:pPr>
        <w:spacing w:before="120" w:line="276" w:lineRule="auto"/>
        <w:jc w:val="both"/>
        <w:rPr>
          <w:rFonts w:asciiTheme="majorHAnsi" w:hAnsiTheme="majorHAnsi" w:cstheme="majorHAnsi"/>
          <w:b/>
          <w:color w:val="000000" w:themeColor="text1"/>
          <w:szCs w:val="22"/>
        </w:rPr>
        <w:sectPr w:rsidR="009660B6" w:rsidRPr="00586147" w:rsidSect="00015E8A">
          <w:headerReference w:type="default" r:id="rId8"/>
          <w:footerReference w:type="default" r:id="rId9"/>
          <w:pgSz w:w="11900" w:h="16840"/>
          <w:pgMar w:top="5529" w:right="560" w:bottom="3261" w:left="567" w:header="0" w:footer="0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676"/>
        <w:tblW w:w="0" w:type="auto"/>
        <w:tblLook w:val="04A0" w:firstRow="1" w:lastRow="0" w:firstColumn="1" w:lastColumn="0" w:noHBand="0" w:noVBand="1"/>
        <w:tblCaption w:val="Document version control and information"/>
      </w:tblPr>
      <w:tblGrid>
        <w:gridCol w:w="4474"/>
        <w:gridCol w:w="4547"/>
      </w:tblGrid>
      <w:tr w:rsidR="00C35367" w:rsidRPr="00586147" w14:paraId="2DEB9994" w14:textId="77777777" w:rsidTr="00015E8A">
        <w:trPr>
          <w:tblHeader/>
        </w:trPr>
        <w:tc>
          <w:tcPr>
            <w:tcW w:w="4474" w:type="dxa"/>
            <w:shd w:val="clear" w:color="auto" w:fill="D9D9D9" w:themeFill="background1" w:themeFillShade="D9"/>
          </w:tcPr>
          <w:p w14:paraId="7BC87D26" w14:textId="0F57D6AD" w:rsidR="00C35367" w:rsidRDefault="00C3536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lastRenderedPageBreak/>
              <w:t>Document Reference Number</w:t>
            </w:r>
          </w:p>
        </w:tc>
        <w:tc>
          <w:tcPr>
            <w:tcW w:w="4547" w:type="dxa"/>
          </w:tcPr>
          <w:p w14:paraId="5576140A" w14:textId="22CD5716" w:rsidR="00C35367" w:rsidRPr="006550E0" w:rsidRDefault="00C3536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6550E0" w:rsidRPr="00586147" w14:paraId="1A709339" w14:textId="77777777" w:rsidTr="00015E8A">
        <w:trPr>
          <w:tblHeader/>
        </w:trPr>
        <w:tc>
          <w:tcPr>
            <w:tcW w:w="4474" w:type="dxa"/>
            <w:shd w:val="clear" w:color="auto" w:fill="D9D9D9" w:themeFill="background1" w:themeFillShade="D9"/>
          </w:tcPr>
          <w:p w14:paraId="3A4E6D38" w14:textId="0CDB8E3A" w:rsidR="006550E0" w:rsidRPr="006550E0" w:rsidRDefault="00D4055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Originating Department</w:t>
            </w:r>
          </w:p>
        </w:tc>
        <w:tc>
          <w:tcPr>
            <w:tcW w:w="4547" w:type="dxa"/>
          </w:tcPr>
          <w:p w14:paraId="6DC0D9CE" w14:textId="77777777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6550E0">
              <w:rPr>
                <w:rFonts w:asciiTheme="majorHAnsi" w:hAnsiTheme="majorHAnsi" w:cstheme="majorHAnsi"/>
                <w:color w:val="000000" w:themeColor="text1"/>
                <w:szCs w:val="22"/>
              </w:rPr>
              <w:t>Quality Office</w:t>
            </w:r>
          </w:p>
        </w:tc>
      </w:tr>
      <w:tr w:rsidR="006550E0" w:rsidRPr="00586147" w14:paraId="0CFBC0E1" w14:textId="77777777" w:rsidTr="00015E8A">
        <w:trPr>
          <w:tblHeader/>
        </w:trPr>
        <w:tc>
          <w:tcPr>
            <w:tcW w:w="4474" w:type="dxa"/>
            <w:shd w:val="clear" w:color="auto" w:fill="D9D9D9" w:themeFill="background1" w:themeFillShade="D9"/>
          </w:tcPr>
          <w:p w14:paraId="6BCCAE06" w14:textId="77777777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6550E0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Version Number</w:t>
            </w:r>
          </w:p>
        </w:tc>
        <w:tc>
          <w:tcPr>
            <w:tcW w:w="4547" w:type="dxa"/>
            <w:shd w:val="clear" w:color="auto" w:fill="auto"/>
          </w:tcPr>
          <w:p w14:paraId="263CFE7D" w14:textId="5149C8AA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6550E0">
              <w:rPr>
                <w:rFonts w:asciiTheme="majorHAnsi" w:hAnsiTheme="majorHAnsi" w:cstheme="majorHAnsi"/>
                <w:color w:val="000000" w:themeColor="text1"/>
                <w:szCs w:val="22"/>
              </w:rPr>
              <w:t>V.</w:t>
            </w:r>
            <w:r w:rsidR="00EC1ED8">
              <w:rPr>
                <w:rFonts w:asciiTheme="majorHAnsi" w:hAnsiTheme="majorHAnsi" w:cstheme="majorHAnsi"/>
                <w:color w:val="000000" w:themeColor="text1"/>
                <w:szCs w:val="22"/>
              </w:rPr>
              <w:t>1</w:t>
            </w:r>
            <w:r w:rsidRPr="006550E0">
              <w:rPr>
                <w:rFonts w:asciiTheme="majorHAnsi" w:hAnsiTheme="majorHAnsi" w:cstheme="majorHAnsi"/>
                <w:color w:val="000000" w:themeColor="text1"/>
                <w:szCs w:val="22"/>
              </w:rPr>
              <w:t>.0</w:t>
            </w:r>
            <w:r w:rsidR="00053729">
              <w:rPr>
                <w:rFonts w:asciiTheme="majorHAnsi" w:hAnsiTheme="majorHAnsi" w:cstheme="majorHAnsi"/>
                <w:color w:val="000000" w:themeColor="text1"/>
                <w:szCs w:val="22"/>
              </w:rPr>
              <w:t>1</w:t>
            </w:r>
          </w:p>
        </w:tc>
      </w:tr>
      <w:tr w:rsidR="006550E0" w:rsidRPr="00586147" w14:paraId="07343C7B" w14:textId="77777777" w:rsidTr="00015E8A">
        <w:trPr>
          <w:tblHeader/>
        </w:trPr>
        <w:tc>
          <w:tcPr>
            <w:tcW w:w="4474" w:type="dxa"/>
            <w:shd w:val="clear" w:color="auto" w:fill="D9D9D9" w:themeFill="background1" w:themeFillShade="D9"/>
          </w:tcPr>
          <w:p w14:paraId="31232572" w14:textId="66421F7B" w:rsidR="006550E0" w:rsidRPr="006550E0" w:rsidRDefault="00D4055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Date Applicable from</w:t>
            </w:r>
          </w:p>
        </w:tc>
        <w:tc>
          <w:tcPr>
            <w:tcW w:w="4547" w:type="dxa"/>
            <w:shd w:val="clear" w:color="auto" w:fill="auto"/>
          </w:tcPr>
          <w:p w14:paraId="2C60589D" w14:textId="1A83AAC7" w:rsidR="006550E0" w:rsidRPr="006550E0" w:rsidRDefault="002562E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2"/>
              </w:rPr>
              <w:t>12 May 2022</w:t>
            </w:r>
          </w:p>
        </w:tc>
      </w:tr>
      <w:tr w:rsidR="006550E0" w:rsidRPr="00586147" w14:paraId="3E473B47" w14:textId="77777777" w:rsidTr="00015E8A">
        <w:trPr>
          <w:tblHeader/>
        </w:trPr>
        <w:tc>
          <w:tcPr>
            <w:tcW w:w="4474" w:type="dxa"/>
            <w:shd w:val="clear" w:color="auto" w:fill="D9D9D9" w:themeFill="background1" w:themeFillShade="D9"/>
          </w:tcPr>
          <w:p w14:paraId="7A00EC0F" w14:textId="77777777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6550E0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Date Equality Impact Assessed</w:t>
            </w:r>
          </w:p>
        </w:tc>
        <w:tc>
          <w:tcPr>
            <w:tcW w:w="4547" w:type="dxa"/>
            <w:shd w:val="clear" w:color="auto" w:fill="auto"/>
          </w:tcPr>
          <w:p w14:paraId="106CF031" w14:textId="77777777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2"/>
              </w:rPr>
              <w:t>March 2021</w:t>
            </w:r>
          </w:p>
        </w:tc>
      </w:tr>
      <w:tr w:rsidR="006550E0" w:rsidRPr="00586147" w14:paraId="6365DBFC" w14:textId="77777777" w:rsidTr="00015E8A">
        <w:trPr>
          <w:tblHeader/>
        </w:trPr>
        <w:tc>
          <w:tcPr>
            <w:tcW w:w="4474" w:type="dxa"/>
            <w:shd w:val="clear" w:color="auto" w:fill="D9D9D9" w:themeFill="background1" w:themeFillShade="D9"/>
          </w:tcPr>
          <w:p w14:paraId="4DB9E477" w14:textId="07AEA5EE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6550E0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Approve</w:t>
            </w:r>
            <w:r w:rsidR="00C35367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 xml:space="preserve">d and reviewed </w:t>
            </w:r>
            <w:r w:rsidRPr="006550E0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by</w:t>
            </w:r>
          </w:p>
        </w:tc>
        <w:tc>
          <w:tcPr>
            <w:tcW w:w="4547" w:type="dxa"/>
            <w:shd w:val="clear" w:color="auto" w:fill="auto"/>
          </w:tcPr>
          <w:p w14:paraId="6F7E829E" w14:textId="77777777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2"/>
              </w:rPr>
              <w:t>Academic Board</w:t>
            </w:r>
          </w:p>
        </w:tc>
      </w:tr>
      <w:tr w:rsidR="006550E0" w:rsidRPr="00586147" w14:paraId="00D4822F" w14:textId="77777777" w:rsidTr="00015E8A">
        <w:trPr>
          <w:tblHeader/>
        </w:trPr>
        <w:tc>
          <w:tcPr>
            <w:tcW w:w="4474" w:type="dxa"/>
            <w:shd w:val="clear" w:color="auto" w:fill="D9D9D9" w:themeFill="background1" w:themeFillShade="D9"/>
          </w:tcPr>
          <w:p w14:paraId="55B544A9" w14:textId="751D6625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6550E0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Date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 xml:space="preserve"> </w:t>
            </w:r>
            <w:r w:rsidRPr="006550E0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Approved</w:t>
            </w:r>
          </w:p>
        </w:tc>
        <w:tc>
          <w:tcPr>
            <w:tcW w:w="4547" w:type="dxa"/>
            <w:shd w:val="clear" w:color="auto" w:fill="auto"/>
          </w:tcPr>
          <w:p w14:paraId="2617F9BD" w14:textId="2269E52D" w:rsidR="006550E0" w:rsidRPr="004502B4" w:rsidRDefault="002562E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May 2022</w:t>
            </w:r>
          </w:p>
        </w:tc>
      </w:tr>
      <w:tr w:rsidR="006550E0" w:rsidRPr="00586147" w14:paraId="1F1DCCFA" w14:textId="77777777" w:rsidTr="00015E8A">
        <w:trPr>
          <w:tblHeader/>
        </w:trPr>
        <w:tc>
          <w:tcPr>
            <w:tcW w:w="4474" w:type="dxa"/>
            <w:shd w:val="clear" w:color="auto" w:fill="D9D9D9" w:themeFill="background1" w:themeFillShade="D9"/>
          </w:tcPr>
          <w:p w14:paraId="6086FE67" w14:textId="482D6969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Date of last review</w:t>
            </w:r>
          </w:p>
        </w:tc>
        <w:tc>
          <w:tcPr>
            <w:tcW w:w="4547" w:type="dxa"/>
            <w:shd w:val="clear" w:color="auto" w:fill="auto"/>
          </w:tcPr>
          <w:p w14:paraId="35DA9F4B" w14:textId="7D7A448B" w:rsid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6550E0" w:rsidRPr="00586147" w14:paraId="326579F5" w14:textId="77777777" w:rsidTr="00015E8A">
        <w:trPr>
          <w:tblHeader/>
        </w:trPr>
        <w:tc>
          <w:tcPr>
            <w:tcW w:w="4474" w:type="dxa"/>
            <w:shd w:val="clear" w:color="auto" w:fill="D9D9D9" w:themeFill="background1" w:themeFillShade="D9"/>
          </w:tcPr>
          <w:p w14:paraId="7392F33A" w14:textId="77777777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6550E0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Access Public (website) or Internal (</w:t>
            </w:r>
            <w:proofErr w:type="spellStart"/>
            <w:r w:rsidRPr="006550E0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MyWi</w:t>
            </w:r>
            <w:proofErr w:type="spellEnd"/>
            <w:r w:rsidRPr="006550E0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)</w:t>
            </w:r>
          </w:p>
        </w:tc>
        <w:tc>
          <w:tcPr>
            <w:tcW w:w="4547" w:type="dxa"/>
            <w:shd w:val="clear" w:color="auto" w:fill="auto"/>
          </w:tcPr>
          <w:p w14:paraId="6789F413" w14:textId="671474CB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Website</w:t>
            </w:r>
          </w:p>
        </w:tc>
      </w:tr>
      <w:tr w:rsidR="006550E0" w:rsidRPr="00586147" w14:paraId="72A19CAF" w14:textId="77777777" w:rsidTr="00015E8A">
        <w:trPr>
          <w:tblHeader/>
        </w:trPr>
        <w:tc>
          <w:tcPr>
            <w:tcW w:w="4474" w:type="dxa"/>
            <w:shd w:val="clear" w:color="auto" w:fill="D9D9D9" w:themeFill="background1" w:themeFillShade="D9"/>
          </w:tcPr>
          <w:p w14:paraId="7A048BE9" w14:textId="77777777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6550E0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Access Staff and Student or Staff Only</w:t>
            </w:r>
          </w:p>
        </w:tc>
        <w:tc>
          <w:tcPr>
            <w:tcW w:w="4547" w:type="dxa"/>
          </w:tcPr>
          <w:p w14:paraId="1B7856AB" w14:textId="77777777" w:rsidR="006550E0" w:rsidRPr="006550E0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2"/>
              </w:rPr>
              <w:t>Staff and Student</w:t>
            </w:r>
          </w:p>
        </w:tc>
      </w:tr>
      <w:tr w:rsidR="00D40557" w:rsidRPr="00586147" w14:paraId="7B8E2BFD" w14:textId="77777777" w:rsidTr="00015E8A">
        <w:trPr>
          <w:tblHeader/>
        </w:trPr>
        <w:tc>
          <w:tcPr>
            <w:tcW w:w="4474" w:type="dxa"/>
            <w:shd w:val="clear" w:color="auto" w:fill="D9D9D9" w:themeFill="background1" w:themeFillShade="D9"/>
          </w:tcPr>
          <w:p w14:paraId="3313B92B" w14:textId="2156AED2" w:rsidR="00D40557" w:rsidRPr="006550E0" w:rsidRDefault="00D4055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Application to Collaborative</w:t>
            </w:r>
          </w:p>
        </w:tc>
        <w:tc>
          <w:tcPr>
            <w:tcW w:w="4547" w:type="dxa"/>
          </w:tcPr>
          <w:p w14:paraId="16B36749" w14:textId="7B6DAC46" w:rsidR="00D40557" w:rsidRDefault="00D4055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2"/>
              </w:rPr>
              <w:t xml:space="preserve">Mandatory </w:t>
            </w:r>
          </w:p>
        </w:tc>
      </w:tr>
    </w:tbl>
    <w:p w14:paraId="35999E47" w14:textId="67586D8F" w:rsidR="00544FAA" w:rsidRDefault="00544FAA" w:rsidP="00586147">
      <w:pPr>
        <w:pStyle w:val="Heading1"/>
        <w:spacing w:before="120" w:line="276" w:lineRule="auto"/>
        <w:jc w:val="both"/>
        <w:rPr>
          <w:rFonts w:cstheme="majorHAnsi"/>
          <w:sz w:val="22"/>
          <w:szCs w:val="22"/>
        </w:rPr>
      </w:pPr>
    </w:p>
    <w:p w14:paraId="7B67B12F" w14:textId="77777777" w:rsidR="002F5549" w:rsidRDefault="002F5549" w:rsidP="00586147">
      <w:pPr>
        <w:pStyle w:val="Heading2"/>
        <w:numPr>
          <w:ilvl w:val="0"/>
          <w:numId w:val="7"/>
        </w:numPr>
        <w:spacing w:before="120" w:line="276" w:lineRule="auto"/>
        <w:ind w:left="426" w:hanging="426"/>
        <w:jc w:val="both"/>
        <w:rPr>
          <w:rFonts w:cstheme="majorHAnsi"/>
          <w:szCs w:val="28"/>
        </w:rPr>
        <w:sectPr w:rsidR="002F5549" w:rsidSect="002F5549">
          <w:headerReference w:type="default" r:id="rId10"/>
          <w:footerReference w:type="default" r:id="rId11"/>
          <w:pgSz w:w="11911" w:h="17350"/>
          <w:pgMar w:top="1440" w:right="1440" w:bottom="1440" w:left="1440" w:header="720" w:footer="0" w:gutter="0"/>
          <w:cols w:space="720"/>
          <w:noEndnote/>
          <w:docGrid w:linePitch="299"/>
        </w:sectPr>
      </w:pPr>
    </w:p>
    <w:p w14:paraId="4D09375B" w14:textId="29F3A105" w:rsidR="00650276" w:rsidRDefault="00402655" w:rsidP="00586147">
      <w:pPr>
        <w:pStyle w:val="Heading2"/>
        <w:numPr>
          <w:ilvl w:val="0"/>
          <w:numId w:val="7"/>
        </w:numPr>
        <w:spacing w:before="120" w:line="276" w:lineRule="auto"/>
        <w:ind w:left="426" w:hanging="426"/>
        <w:jc w:val="both"/>
        <w:rPr>
          <w:rFonts w:cstheme="majorHAnsi"/>
        </w:rPr>
      </w:pPr>
      <w:r>
        <w:rPr>
          <w:rFonts w:cstheme="majorHAnsi"/>
          <w:szCs w:val="28"/>
        </w:rPr>
        <w:lastRenderedPageBreak/>
        <w:t>Types of award and duration</w:t>
      </w:r>
    </w:p>
    <w:p w14:paraId="171E3109" w14:textId="3C938AAE" w:rsidR="00301509" w:rsidRDefault="00402655" w:rsidP="009C58BA">
      <w:pPr>
        <w:pStyle w:val="ListParagraph"/>
        <w:numPr>
          <w:ilvl w:val="1"/>
          <w:numId w:val="7"/>
        </w:numPr>
        <w:spacing w:before="120" w:line="276" w:lineRule="auto"/>
        <w:ind w:left="993" w:hanging="573"/>
        <w:contextualSpacing w:val="0"/>
      </w:pPr>
      <w:r>
        <w:t>The credits and level for all University College awards are set out in the University College Higher Education Qualification Credit Framework (HEQCF)</w:t>
      </w:r>
    </w:p>
    <w:p w14:paraId="2C2A950C" w14:textId="47FB719A" w:rsidR="00F04AC8" w:rsidRDefault="0051367C" w:rsidP="009C58BA">
      <w:pPr>
        <w:pStyle w:val="ListParagraph"/>
        <w:numPr>
          <w:ilvl w:val="1"/>
          <w:numId w:val="7"/>
        </w:numPr>
        <w:spacing w:before="120" w:line="276" w:lineRule="auto"/>
        <w:ind w:left="993"/>
        <w:contextualSpacing w:val="0"/>
      </w:pPr>
      <w:r>
        <w:t xml:space="preserve">A Foundation Year is intended to provide students with a route on to specified undergraduate degree </w:t>
      </w:r>
      <w:proofErr w:type="spellStart"/>
      <w:r>
        <w:t>programmes</w:t>
      </w:r>
      <w:proofErr w:type="spellEnd"/>
      <w:r>
        <w:t xml:space="preserve"> at the University College and application to the Foundation year will be in combination with application to the degree </w:t>
      </w:r>
      <w:proofErr w:type="spellStart"/>
      <w:r>
        <w:t>programme</w:t>
      </w:r>
      <w:proofErr w:type="spellEnd"/>
      <w:r>
        <w:t xml:space="preserve"> on to which it leads.  The total length of the degree </w:t>
      </w:r>
      <w:proofErr w:type="spellStart"/>
      <w:r>
        <w:t>programme</w:t>
      </w:r>
      <w:proofErr w:type="spellEnd"/>
      <w:r>
        <w:t>(s) with Foundation year is four years full-time.</w:t>
      </w:r>
    </w:p>
    <w:p w14:paraId="1441F578" w14:textId="6878C343" w:rsidR="0051367C" w:rsidRDefault="0051367C" w:rsidP="009C58BA">
      <w:pPr>
        <w:pStyle w:val="ListParagraph"/>
        <w:numPr>
          <w:ilvl w:val="1"/>
          <w:numId w:val="7"/>
        </w:numPr>
        <w:spacing w:before="120" w:line="276" w:lineRule="auto"/>
        <w:ind w:left="993"/>
        <w:contextualSpacing w:val="0"/>
      </w:pPr>
      <w:r>
        <w:t xml:space="preserve">Successful completion of the Foundation Year entitles the student to automatic progression to the degree </w:t>
      </w:r>
      <w:proofErr w:type="spellStart"/>
      <w:r>
        <w:t>programme</w:t>
      </w:r>
      <w:proofErr w:type="spellEnd"/>
      <w:r>
        <w:t xml:space="preserve"> to which it is linked; or a Certificate of Completion as an exit award</w:t>
      </w:r>
      <w:r w:rsidR="0068647B">
        <w:t xml:space="preserve"> (120 credits)</w:t>
      </w:r>
      <w:r>
        <w:t>.</w:t>
      </w:r>
    </w:p>
    <w:p w14:paraId="4F886B8D" w14:textId="4139C36A" w:rsidR="0051367C" w:rsidRDefault="0051367C" w:rsidP="009C58BA">
      <w:pPr>
        <w:pStyle w:val="ListParagraph"/>
        <w:numPr>
          <w:ilvl w:val="1"/>
          <w:numId w:val="7"/>
        </w:numPr>
        <w:spacing w:before="120" w:line="276" w:lineRule="auto"/>
        <w:ind w:left="993"/>
        <w:contextualSpacing w:val="0"/>
      </w:pPr>
      <w:r>
        <w:lastRenderedPageBreak/>
        <w:t>Students who exit following successful completion of 60 credits may be eligible to claim a Certificate of Achievement</w:t>
      </w:r>
      <w:r w:rsidR="001A7198">
        <w:t>.</w:t>
      </w:r>
    </w:p>
    <w:p w14:paraId="7BFB9B36" w14:textId="79E24689" w:rsidR="0051367C" w:rsidRDefault="0051367C" w:rsidP="009C58BA">
      <w:pPr>
        <w:pStyle w:val="ListParagraph"/>
        <w:numPr>
          <w:ilvl w:val="1"/>
          <w:numId w:val="7"/>
        </w:numPr>
        <w:spacing w:before="120" w:line="276" w:lineRule="auto"/>
        <w:ind w:left="993"/>
        <w:contextualSpacing w:val="0"/>
      </w:pPr>
      <w:r>
        <w:t xml:space="preserve">Credit awarded for a Certificate of Completion or a Certificate of Achievement will be Writtle University College credit and will not necessarily be </w:t>
      </w:r>
      <w:proofErr w:type="spellStart"/>
      <w:r>
        <w:t>recognised</w:t>
      </w:r>
      <w:proofErr w:type="spellEnd"/>
      <w:r>
        <w:t xml:space="preserve"> outside of the University College.</w:t>
      </w:r>
    </w:p>
    <w:p w14:paraId="1CAE92FD" w14:textId="20F6B90D" w:rsidR="00A9785E" w:rsidRDefault="00CD32EC" w:rsidP="000A5830">
      <w:pPr>
        <w:pStyle w:val="Heading2"/>
        <w:numPr>
          <w:ilvl w:val="0"/>
          <w:numId w:val="7"/>
        </w:numPr>
        <w:spacing w:before="240" w:line="276" w:lineRule="auto"/>
        <w:ind w:left="425" w:hanging="425"/>
      </w:pPr>
      <w:r>
        <w:t>Modular Structure</w:t>
      </w:r>
    </w:p>
    <w:p w14:paraId="1F35E000" w14:textId="26541585" w:rsidR="00B23C44" w:rsidRDefault="0051367C" w:rsidP="00F37B43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>
        <w:t>The academic year will be delivered in two semesters</w:t>
      </w:r>
      <w:r w:rsidR="001A7198">
        <w:t>.</w:t>
      </w:r>
    </w:p>
    <w:p w14:paraId="426F7B04" w14:textId="62729774" w:rsidR="0051367C" w:rsidRDefault="0051367C" w:rsidP="00F37B43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>
        <w:t>Modules may be 15, 20 or 30 credits in size and a module may be delivered within one or across both semesters.</w:t>
      </w:r>
    </w:p>
    <w:p w14:paraId="61291EFF" w14:textId="55DCB0F2" w:rsidR="0051367C" w:rsidRPr="00F37B43" w:rsidRDefault="0051367C" w:rsidP="00F37B43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>
        <w:t xml:space="preserve">All modules on the Foundation Year are core and must be taken and passed by all students irrespective of the subsequent degree </w:t>
      </w:r>
      <w:proofErr w:type="spellStart"/>
      <w:r>
        <w:t>programme</w:t>
      </w:r>
      <w:proofErr w:type="spellEnd"/>
      <w:r>
        <w:t xml:space="preserve"> to which they have applied.</w:t>
      </w:r>
    </w:p>
    <w:p w14:paraId="46268574" w14:textId="000C191B" w:rsidR="000A5830" w:rsidRDefault="00B23C44" w:rsidP="000A5830">
      <w:pPr>
        <w:pStyle w:val="Heading2"/>
        <w:numPr>
          <w:ilvl w:val="0"/>
          <w:numId w:val="7"/>
        </w:numPr>
        <w:spacing w:before="240" w:line="276" w:lineRule="auto"/>
        <w:ind w:left="425" w:hanging="425"/>
      </w:pPr>
      <w:r>
        <w:lastRenderedPageBreak/>
        <w:t>Module Assessment</w:t>
      </w:r>
    </w:p>
    <w:p w14:paraId="49CF087A" w14:textId="0CD1C7D0" w:rsidR="00F525D0" w:rsidRDefault="0006753A" w:rsidP="00DE28B2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>
        <w:t>The pass mark for all modules is 40%.</w:t>
      </w:r>
    </w:p>
    <w:p w14:paraId="495F059C" w14:textId="74A2B0D7" w:rsidR="00F36E1E" w:rsidRDefault="00D50606" w:rsidP="00DE28B2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>
        <w:t>Where an original attempt at assessment results in a fail, upon successful achievement at reassessment the overall module mark will be capped at 40%.</w:t>
      </w:r>
    </w:p>
    <w:p w14:paraId="206729CF" w14:textId="2BAC667C" w:rsidR="00D50606" w:rsidRPr="00737281" w:rsidRDefault="00D50606" w:rsidP="00DE28B2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>
        <w:t xml:space="preserve">Students are allowed </w:t>
      </w:r>
      <w:r w:rsidR="00FD75FF">
        <w:t>one</w:t>
      </w:r>
      <w:r>
        <w:t xml:space="preserve"> attempt at reassessment following failure at the original attempt</w:t>
      </w:r>
      <w:r w:rsidR="00737281">
        <w:t>; unless there are accepted extenuating circumstances</w:t>
      </w:r>
      <w:r>
        <w:t xml:space="preserve">. </w:t>
      </w:r>
    </w:p>
    <w:p w14:paraId="3FD9A1D2" w14:textId="1C6EE270" w:rsidR="00737281" w:rsidRDefault="00737281" w:rsidP="00DE28B2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>
        <w:t>Where reassessment results in a lower mark than that achieved in the original (or previous) attempt the Board of Examiners will reinstate the original (or previous) mark.</w:t>
      </w:r>
    </w:p>
    <w:p w14:paraId="16A9E5D3" w14:textId="590747D8" w:rsidR="00EA50A9" w:rsidRDefault="00737281" w:rsidP="00C61570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>
        <w:t xml:space="preserve">Where </w:t>
      </w:r>
      <w:r w:rsidR="0061081F">
        <w:t xml:space="preserve">accepted </w:t>
      </w:r>
      <w:r>
        <w:t xml:space="preserve">extenuating circumstances </w:t>
      </w:r>
      <w:r w:rsidR="0061081F">
        <w:t xml:space="preserve">apply to a whole module the overall module mark will not be capped.  However, if extenuating circumstances are only </w:t>
      </w:r>
      <w:r w:rsidR="0061081F">
        <w:lastRenderedPageBreak/>
        <w:t xml:space="preserve">accepted for an element of assessment, </w:t>
      </w:r>
      <w:r w:rsidR="006D40B5">
        <w:t xml:space="preserve">and </w:t>
      </w:r>
      <w:r w:rsidR="0061081F">
        <w:t xml:space="preserve">other elements of original assessment must be reassessed the </w:t>
      </w:r>
      <w:r w:rsidR="003354B2">
        <w:t xml:space="preserve">overall mark for the module </w:t>
      </w:r>
      <w:r w:rsidR="006D40B5">
        <w:t>will</w:t>
      </w:r>
      <w:r w:rsidR="003354B2">
        <w:t xml:space="preserve"> be capped</w:t>
      </w:r>
      <w:r w:rsidR="0061081F">
        <w:t>.</w:t>
      </w:r>
    </w:p>
    <w:p w14:paraId="7F63F440" w14:textId="42444770" w:rsidR="009514A4" w:rsidRDefault="00F67F1B" w:rsidP="004D5EEC">
      <w:pPr>
        <w:pStyle w:val="Heading2"/>
        <w:numPr>
          <w:ilvl w:val="0"/>
          <w:numId w:val="7"/>
        </w:numPr>
        <w:spacing w:before="120" w:line="276" w:lineRule="auto"/>
        <w:ind w:left="714" w:hanging="357"/>
      </w:pPr>
      <w:r>
        <w:t>Progression and outstanding credit</w:t>
      </w:r>
    </w:p>
    <w:p w14:paraId="45FC953C" w14:textId="73B74C28" w:rsidR="009514A4" w:rsidRDefault="00F67F1B" w:rsidP="009514A4">
      <w:pPr>
        <w:pStyle w:val="ListParagraph"/>
        <w:numPr>
          <w:ilvl w:val="1"/>
          <w:numId w:val="7"/>
        </w:numPr>
        <w:spacing w:before="120" w:line="276" w:lineRule="auto"/>
        <w:ind w:hanging="573"/>
        <w:contextualSpacing w:val="0"/>
      </w:pPr>
      <w:r>
        <w:t xml:space="preserve">The </w:t>
      </w:r>
      <w:proofErr w:type="spellStart"/>
      <w:r>
        <w:t>programme</w:t>
      </w:r>
      <w:proofErr w:type="spellEnd"/>
      <w:r>
        <w:t xml:space="preserve"> of study on a Foundation Year is discrete within the overall award.  Credit from a Foundation Year cannot be trailed into the award to which the </w:t>
      </w:r>
      <w:proofErr w:type="spellStart"/>
      <w:r>
        <w:t>programme</w:t>
      </w:r>
      <w:proofErr w:type="spellEnd"/>
      <w:r>
        <w:t xml:space="preserve"> of study leads.</w:t>
      </w:r>
    </w:p>
    <w:p w14:paraId="59F18321" w14:textId="4A428865" w:rsidR="00F67F1B" w:rsidRDefault="00F67F1B" w:rsidP="009514A4">
      <w:pPr>
        <w:pStyle w:val="ListParagraph"/>
        <w:numPr>
          <w:ilvl w:val="1"/>
          <w:numId w:val="7"/>
        </w:numPr>
        <w:spacing w:before="120" w:line="276" w:lineRule="auto"/>
        <w:ind w:hanging="573"/>
        <w:contextualSpacing w:val="0"/>
      </w:pPr>
      <w:r>
        <w:t>The overall outcome for a Foundation Year is pass/fail only.</w:t>
      </w:r>
    </w:p>
    <w:p w14:paraId="757762A7" w14:textId="17CDB5BF" w:rsidR="001A7198" w:rsidRDefault="001A7198" w:rsidP="009514A4">
      <w:pPr>
        <w:pStyle w:val="ListParagraph"/>
        <w:numPr>
          <w:ilvl w:val="1"/>
          <w:numId w:val="7"/>
        </w:numPr>
        <w:spacing w:before="120" w:line="276" w:lineRule="auto"/>
        <w:ind w:hanging="573"/>
        <w:contextualSpacing w:val="0"/>
      </w:pPr>
      <w:r>
        <w:t xml:space="preserve">Students must pass all modules </w:t>
      </w:r>
      <w:r w:rsidR="0068647B">
        <w:t xml:space="preserve">(120 credits) </w:t>
      </w:r>
      <w:r>
        <w:t xml:space="preserve">to pass the Foundation Year. </w:t>
      </w:r>
    </w:p>
    <w:p w14:paraId="2A3D1DAB" w14:textId="77777777" w:rsidR="00AD45ED" w:rsidRDefault="00AD45ED" w:rsidP="00AD45ED">
      <w:pPr>
        <w:spacing w:before="120" w:line="276" w:lineRule="auto"/>
        <w:ind w:left="981"/>
      </w:pPr>
    </w:p>
    <w:p w14:paraId="46A681E6" w14:textId="3B02359E" w:rsidR="00AD45ED" w:rsidRDefault="00F67F1B" w:rsidP="00AD45ED">
      <w:pPr>
        <w:pStyle w:val="Heading2"/>
        <w:numPr>
          <w:ilvl w:val="0"/>
          <w:numId w:val="7"/>
        </w:numPr>
      </w:pPr>
      <w:r>
        <w:t>Transfer</w:t>
      </w:r>
    </w:p>
    <w:p w14:paraId="5ECFC1B8" w14:textId="4018D68D" w:rsidR="00F67F1B" w:rsidRDefault="00F67F1B" w:rsidP="00F67F1B">
      <w:pPr>
        <w:pStyle w:val="ListParagraph"/>
        <w:numPr>
          <w:ilvl w:val="1"/>
          <w:numId w:val="7"/>
        </w:numPr>
        <w:spacing w:before="120" w:line="276" w:lineRule="auto"/>
        <w:ind w:hanging="573"/>
        <w:contextualSpacing w:val="0"/>
      </w:pPr>
      <w:r>
        <w:t xml:space="preserve">Students who wish to transfer to a different degree </w:t>
      </w:r>
      <w:proofErr w:type="spellStart"/>
      <w:r>
        <w:t>programme</w:t>
      </w:r>
      <w:proofErr w:type="spellEnd"/>
      <w:r>
        <w:t xml:space="preserve"> following the Foundation Year from that which they originally applied must formally apply to do </w:t>
      </w:r>
      <w:r>
        <w:lastRenderedPageBreak/>
        <w:t>so.  Transfer will be at the discretion of the University College and is not guaranteed.</w:t>
      </w:r>
    </w:p>
    <w:p w14:paraId="13EBA7FB" w14:textId="05AAEEAD" w:rsidR="00F67F1B" w:rsidRPr="00F67F1B" w:rsidRDefault="00F67F1B" w:rsidP="00F67F1B">
      <w:pPr>
        <w:pStyle w:val="ListParagraph"/>
        <w:numPr>
          <w:ilvl w:val="1"/>
          <w:numId w:val="7"/>
        </w:numPr>
        <w:spacing w:before="120" w:line="276" w:lineRule="auto"/>
        <w:ind w:hanging="573"/>
        <w:contextualSpacing w:val="0"/>
      </w:pPr>
      <w:r>
        <w:t>The latest opportunity for transfer between awards will be dependent on the precise nature of the transfer and students should seek advice as early as possible.</w:t>
      </w:r>
    </w:p>
    <w:sectPr w:rsidR="00F67F1B" w:rsidRPr="00F67F1B" w:rsidSect="00D362B7">
      <w:headerReference w:type="default" r:id="rId12"/>
      <w:footerReference w:type="default" r:id="rId13"/>
      <w:pgSz w:w="11911" w:h="17350"/>
      <w:pgMar w:top="1440" w:right="1418" w:bottom="1440" w:left="1440" w:header="720" w:footer="45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682F" w14:textId="77777777" w:rsidR="00096FB5" w:rsidRDefault="00096FB5" w:rsidP="003D67B3">
      <w:r>
        <w:separator/>
      </w:r>
    </w:p>
  </w:endnote>
  <w:endnote w:type="continuationSeparator" w:id="0">
    <w:p w14:paraId="5A120CB8" w14:textId="77777777" w:rsidR="00096FB5" w:rsidRDefault="00096FB5" w:rsidP="003D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449B9" w14:textId="6E82D8AB" w:rsidR="0073587B" w:rsidRDefault="002F5549" w:rsidP="00015E8A">
    <w:pPr>
      <w:pStyle w:val="Footer"/>
      <w:tabs>
        <w:tab w:val="clear" w:pos="4513"/>
        <w:tab w:val="clear" w:pos="9026"/>
        <w:tab w:val="left" w:pos="1515"/>
      </w:tabs>
      <w:ind w:left="-567" w:right="-560"/>
    </w:pPr>
    <w:r>
      <w:tab/>
    </w:r>
    <w:r w:rsidR="00015E8A">
      <w:rPr>
        <w:noProof/>
        <w:lang w:val="en-GB" w:eastAsia="en-GB"/>
      </w:rPr>
      <w:drawing>
        <wp:inline distT="0" distB="0" distL="0" distR="0" wp14:anchorId="2CBEFAF4" wp14:editId="0CA7BB44">
          <wp:extent cx="7545600" cy="1926000"/>
          <wp:effectExtent l="0" t="0" r="0" b="0"/>
          <wp:docPr id="8" name="Picture 8" descr="Writtle University College&#10;Chelmsford&#10;Essex&#10;CM1 3RR&#10;&#10;Telephone: 01245 424200&#10;Email: info@writtle.ac.uk&#10;www.writtle.ac.uk" title="Writtle University Address and contact informat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9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44BE" w14:textId="594572E4" w:rsidR="002F5549" w:rsidRDefault="002F5549" w:rsidP="002F5549">
    <w:pPr>
      <w:pStyle w:val="Footer"/>
      <w:tabs>
        <w:tab w:val="clear" w:pos="4513"/>
        <w:tab w:val="clear" w:pos="9026"/>
        <w:tab w:val="left" w:pos="15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2"/>
      </w:rPr>
      <w:id w:val="1560364557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CC84C" w14:textId="750E5DD2" w:rsidR="00D362B7" w:rsidRPr="00D362B7" w:rsidRDefault="00D362B7">
            <w:pPr>
              <w:pStyle w:val="Footer"/>
              <w:jc w:val="right"/>
              <w:rPr>
                <w:szCs w:val="22"/>
              </w:rPr>
            </w:pPr>
            <w:r w:rsidRPr="00D362B7">
              <w:rPr>
                <w:szCs w:val="22"/>
              </w:rPr>
              <w:t xml:space="preserve">Page </w:t>
            </w:r>
            <w:r w:rsidRPr="00D362B7">
              <w:rPr>
                <w:b/>
                <w:bCs/>
                <w:szCs w:val="22"/>
              </w:rPr>
              <w:fldChar w:fldCharType="begin"/>
            </w:r>
            <w:r w:rsidRPr="00D362B7">
              <w:rPr>
                <w:b/>
                <w:bCs/>
                <w:szCs w:val="22"/>
              </w:rPr>
              <w:instrText xml:space="preserve"> PAGE </w:instrText>
            </w:r>
            <w:r w:rsidRPr="00D362B7">
              <w:rPr>
                <w:b/>
                <w:bCs/>
                <w:szCs w:val="22"/>
              </w:rPr>
              <w:fldChar w:fldCharType="separate"/>
            </w:r>
            <w:r w:rsidR="003740E1">
              <w:rPr>
                <w:b/>
                <w:bCs/>
                <w:noProof/>
                <w:szCs w:val="22"/>
              </w:rPr>
              <w:t>2</w:t>
            </w:r>
            <w:r w:rsidRPr="00D362B7">
              <w:rPr>
                <w:b/>
                <w:bCs/>
                <w:szCs w:val="22"/>
              </w:rPr>
              <w:fldChar w:fldCharType="end"/>
            </w:r>
            <w:r w:rsidRPr="00D362B7">
              <w:rPr>
                <w:szCs w:val="22"/>
              </w:rPr>
              <w:t xml:space="preserve"> of </w:t>
            </w:r>
            <w:r w:rsidR="00AF56F7">
              <w:rPr>
                <w:b/>
                <w:bCs/>
                <w:szCs w:val="22"/>
              </w:rPr>
              <w:t>2</w:t>
            </w:r>
          </w:p>
        </w:sdtContent>
      </w:sdt>
    </w:sdtContent>
  </w:sdt>
  <w:p w14:paraId="15CF0B95" w14:textId="0FF3A34F" w:rsidR="00D362B7" w:rsidRDefault="00D362B7" w:rsidP="002F5549">
    <w:pPr>
      <w:pStyle w:val="Footer"/>
      <w:tabs>
        <w:tab w:val="clear" w:pos="4513"/>
        <w:tab w:val="clear" w:pos="9026"/>
        <w:tab w:val="left" w:pos="1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4811E" w14:textId="77777777" w:rsidR="00096FB5" w:rsidRDefault="00096FB5" w:rsidP="003D67B3">
      <w:r>
        <w:separator/>
      </w:r>
    </w:p>
  </w:footnote>
  <w:footnote w:type="continuationSeparator" w:id="0">
    <w:p w14:paraId="41996A81" w14:textId="77777777" w:rsidR="00096FB5" w:rsidRDefault="00096FB5" w:rsidP="003D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1DC3" w14:textId="735E678C" w:rsidR="00993948" w:rsidRDefault="009F622E" w:rsidP="00015E8A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376EE290" wp14:editId="33F6896D">
          <wp:extent cx="7556500" cy="1966595"/>
          <wp:effectExtent l="0" t="0" r="6350" b="0"/>
          <wp:docPr id="7" name="Picture 7" descr="Shield with date 1893 and Writtle University College text on right hand side." title="Writtle University College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-colour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6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B4B7" w14:textId="77777777" w:rsidR="002F5549" w:rsidRDefault="002F55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5007" w14:textId="77777777" w:rsidR="00781CED" w:rsidRPr="00BB6C7B" w:rsidRDefault="00781CED" w:rsidP="00BB6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CB0585"/>
    <w:multiLevelType w:val="hybridMultilevel"/>
    <w:tmpl w:val="8C730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AAF311"/>
    <w:multiLevelType w:val="hybridMultilevel"/>
    <w:tmpl w:val="3A37BC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B4884"/>
    <w:multiLevelType w:val="multilevel"/>
    <w:tmpl w:val="4D32D522"/>
    <w:lvl w:ilvl="0">
      <w:start w:val="4"/>
      <w:numFmt w:val="decimal"/>
      <w:lvlText w:val="%1."/>
      <w:lvlJc w:val="left"/>
      <w:pPr>
        <w:ind w:left="425" w:hanging="360"/>
      </w:pPr>
      <w:rPr>
        <w:rFonts w:ascii="Calibri" w:hAnsi="Calibri" w:cs="Calibri" w:hint="default"/>
        <w:b w:val="0"/>
        <w:color w:val="4F81BD" w:themeColor="accent1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35" w:hanging="57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5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5" w:hanging="1440"/>
      </w:pPr>
      <w:rPr>
        <w:rFonts w:hint="default"/>
      </w:rPr>
    </w:lvl>
  </w:abstractNum>
  <w:abstractNum w:abstractNumId="3" w15:restartNumberingAfterBreak="0">
    <w:nsid w:val="077A74AB"/>
    <w:multiLevelType w:val="hybridMultilevel"/>
    <w:tmpl w:val="780E31E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36354"/>
    <w:multiLevelType w:val="multilevel"/>
    <w:tmpl w:val="C4EC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F7E6C"/>
    <w:multiLevelType w:val="hybridMultilevel"/>
    <w:tmpl w:val="7068BBD2"/>
    <w:lvl w:ilvl="0" w:tplc="08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5EB686C"/>
    <w:multiLevelType w:val="hybridMultilevel"/>
    <w:tmpl w:val="D69235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6EAAECA4">
      <w:numFmt w:val="bullet"/>
      <w:lvlText w:val="•"/>
      <w:lvlJc w:val="left"/>
      <w:pPr>
        <w:ind w:left="1797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A1100C0"/>
    <w:multiLevelType w:val="multilevel"/>
    <w:tmpl w:val="008083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365F91" w:themeColor="accent1" w:themeShade="BF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CA56374"/>
    <w:multiLevelType w:val="hybridMultilevel"/>
    <w:tmpl w:val="328A4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5B23"/>
    <w:multiLevelType w:val="hybridMultilevel"/>
    <w:tmpl w:val="DA9DE2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0BA7D5"/>
    <w:multiLevelType w:val="hybridMultilevel"/>
    <w:tmpl w:val="E1EFB8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506304"/>
    <w:multiLevelType w:val="multilevel"/>
    <w:tmpl w:val="4EEC38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365F91" w:themeColor="accent1" w:themeShade="BF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16F0EE0"/>
    <w:multiLevelType w:val="multilevel"/>
    <w:tmpl w:val="4D900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9063F44"/>
    <w:multiLevelType w:val="multilevel"/>
    <w:tmpl w:val="0FCAFE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365F91" w:themeColor="accent1" w:themeShade="BF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C633D81"/>
    <w:multiLevelType w:val="multilevel"/>
    <w:tmpl w:val="9DE8615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C6B6785"/>
    <w:multiLevelType w:val="multilevel"/>
    <w:tmpl w:val="9DE8615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6C45C67"/>
    <w:multiLevelType w:val="hybridMultilevel"/>
    <w:tmpl w:val="37FE52BC"/>
    <w:lvl w:ilvl="0" w:tplc="F2AA1C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6643A"/>
    <w:multiLevelType w:val="hybridMultilevel"/>
    <w:tmpl w:val="6CE4DDCC"/>
    <w:lvl w:ilvl="0" w:tplc="C89449B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F0E13"/>
    <w:multiLevelType w:val="multilevel"/>
    <w:tmpl w:val="008083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365F91" w:themeColor="accent1" w:themeShade="BF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0527F68"/>
    <w:multiLevelType w:val="multilevel"/>
    <w:tmpl w:val="9DE8615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BCF15A1"/>
    <w:multiLevelType w:val="hybridMultilevel"/>
    <w:tmpl w:val="0AE536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BF25F73"/>
    <w:multiLevelType w:val="multilevel"/>
    <w:tmpl w:val="FD72C0B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D4C5307"/>
    <w:multiLevelType w:val="multilevel"/>
    <w:tmpl w:val="678E5338"/>
    <w:lvl w:ilvl="0">
      <w:start w:val="4"/>
      <w:numFmt w:val="decimal"/>
      <w:lvlText w:val="%1."/>
      <w:lvlJc w:val="left"/>
      <w:pPr>
        <w:ind w:left="425" w:hanging="360"/>
      </w:pPr>
      <w:rPr>
        <w:rFonts w:ascii="Calibri" w:hAnsi="Calibri" w:cs="Calibri" w:hint="default"/>
        <w:b w:val="0"/>
        <w:i w:val="0"/>
        <w:color w:val="4F81BD" w:themeColor="accent1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35" w:hanging="57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5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5" w:hanging="1440"/>
      </w:pPr>
      <w:rPr>
        <w:rFonts w:hint="default"/>
      </w:rPr>
    </w:lvl>
  </w:abstractNum>
  <w:abstractNum w:abstractNumId="23" w15:restartNumberingAfterBreak="0">
    <w:nsid w:val="6E783445"/>
    <w:multiLevelType w:val="multilevel"/>
    <w:tmpl w:val="0FCAFE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365F91" w:themeColor="accent1" w:themeShade="BF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EB854AC"/>
    <w:multiLevelType w:val="hybridMultilevel"/>
    <w:tmpl w:val="1CC4FC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5E10AB"/>
    <w:multiLevelType w:val="hybridMultilevel"/>
    <w:tmpl w:val="51BC1A26"/>
    <w:lvl w:ilvl="0" w:tplc="08090017">
      <w:start w:val="1"/>
      <w:numFmt w:val="lowerLetter"/>
      <w:lvlText w:val="%1)"/>
      <w:lvlJc w:val="left"/>
      <w:pPr>
        <w:ind w:left="1036" w:hanging="360"/>
      </w:pPr>
    </w:lvl>
    <w:lvl w:ilvl="1" w:tplc="08090019" w:tentative="1">
      <w:start w:val="1"/>
      <w:numFmt w:val="lowerLetter"/>
      <w:lvlText w:val="%2."/>
      <w:lvlJc w:val="left"/>
      <w:pPr>
        <w:ind w:left="1756" w:hanging="360"/>
      </w:pPr>
    </w:lvl>
    <w:lvl w:ilvl="2" w:tplc="0809001B" w:tentative="1">
      <w:start w:val="1"/>
      <w:numFmt w:val="lowerRoman"/>
      <w:lvlText w:val="%3."/>
      <w:lvlJc w:val="right"/>
      <w:pPr>
        <w:ind w:left="2476" w:hanging="180"/>
      </w:pPr>
    </w:lvl>
    <w:lvl w:ilvl="3" w:tplc="0809000F" w:tentative="1">
      <w:start w:val="1"/>
      <w:numFmt w:val="decimal"/>
      <w:lvlText w:val="%4."/>
      <w:lvlJc w:val="left"/>
      <w:pPr>
        <w:ind w:left="3196" w:hanging="360"/>
      </w:pPr>
    </w:lvl>
    <w:lvl w:ilvl="4" w:tplc="08090019" w:tentative="1">
      <w:start w:val="1"/>
      <w:numFmt w:val="lowerLetter"/>
      <w:lvlText w:val="%5."/>
      <w:lvlJc w:val="left"/>
      <w:pPr>
        <w:ind w:left="3916" w:hanging="360"/>
      </w:pPr>
    </w:lvl>
    <w:lvl w:ilvl="5" w:tplc="0809001B" w:tentative="1">
      <w:start w:val="1"/>
      <w:numFmt w:val="lowerRoman"/>
      <w:lvlText w:val="%6."/>
      <w:lvlJc w:val="right"/>
      <w:pPr>
        <w:ind w:left="4636" w:hanging="180"/>
      </w:pPr>
    </w:lvl>
    <w:lvl w:ilvl="6" w:tplc="0809000F" w:tentative="1">
      <w:start w:val="1"/>
      <w:numFmt w:val="decimal"/>
      <w:lvlText w:val="%7."/>
      <w:lvlJc w:val="left"/>
      <w:pPr>
        <w:ind w:left="5356" w:hanging="360"/>
      </w:pPr>
    </w:lvl>
    <w:lvl w:ilvl="7" w:tplc="08090019" w:tentative="1">
      <w:start w:val="1"/>
      <w:numFmt w:val="lowerLetter"/>
      <w:lvlText w:val="%8."/>
      <w:lvlJc w:val="left"/>
      <w:pPr>
        <w:ind w:left="6076" w:hanging="360"/>
      </w:pPr>
    </w:lvl>
    <w:lvl w:ilvl="8" w:tplc="0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6" w15:restartNumberingAfterBreak="0">
    <w:nsid w:val="7C8371DB"/>
    <w:multiLevelType w:val="hybridMultilevel"/>
    <w:tmpl w:val="3C863C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8"/>
  </w:num>
  <w:num w:numId="5">
    <w:abstractNumId w:val="5"/>
  </w:num>
  <w:num w:numId="6">
    <w:abstractNumId w:val="25"/>
  </w:num>
  <w:num w:numId="7">
    <w:abstractNumId w:val="7"/>
  </w:num>
  <w:num w:numId="8">
    <w:abstractNumId w:val="22"/>
  </w:num>
  <w:num w:numId="9">
    <w:abstractNumId w:val="2"/>
  </w:num>
  <w:num w:numId="10">
    <w:abstractNumId w:val="26"/>
  </w:num>
  <w:num w:numId="11">
    <w:abstractNumId w:val="16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11"/>
  </w:num>
  <w:num w:numId="17">
    <w:abstractNumId w:val="13"/>
  </w:num>
  <w:num w:numId="18">
    <w:abstractNumId w:val="20"/>
  </w:num>
  <w:num w:numId="19">
    <w:abstractNumId w:val="9"/>
  </w:num>
  <w:num w:numId="20">
    <w:abstractNumId w:val="10"/>
  </w:num>
  <w:num w:numId="21">
    <w:abstractNumId w:val="23"/>
  </w:num>
  <w:num w:numId="22">
    <w:abstractNumId w:val="17"/>
  </w:num>
  <w:num w:numId="23">
    <w:abstractNumId w:val="14"/>
  </w:num>
  <w:num w:numId="24">
    <w:abstractNumId w:val="19"/>
  </w:num>
  <w:num w:numId="25">
    <w:abstractNumId w:val="21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proofState w:spelling="clean" w:grammar="clean"/>
  <w:attachedTemplate r:id="rId1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0"/>
    <w:rsid w:val="00013DF9"/>
    <w:rsid w:val="00013F33"/>
    <w:rsid w:val="00015E8A"/>
    <w:rsid w:val="00031F40"/>
    <w:rsid w:val="00053729"/>
    <w:rsid w:val="0006753A"/>
    <w:rsid w:val="000717CA"/>
    <w:rsid w:val="00075902"/>
    <w:rsid w:val="00096FB5"/>
    <w:rsid w:val="000A08D5"/>
    <w:rsid w:val="000A3CBC"/>
    <w:rsid w:val="000A5830"/>
    <w:rsid w:val="000C77AF"/>
    <w:rsid w:val="000D6269"/>
    <w:rsid w:val="000E504B"/>
    <w:rsid w:val="000F62E4"/>
    <w:rsid w:val="0010601D"/>
    <w:rsid w:val="001102C1"/>
    <w:rsid w:val="001221D2"/>
    <w:rsid w:val="001260EC"/>
    <w:rsid w:val="0013549C"/>
    <w:rsid w:val="0015594C"/>
    <w:rsid w:val="00174064"/>
    <w:rsid w:val="00182CD4"/>
    <w:rsid w:val="00187140"/>
    <w:rsid w:val="001A0486"/>
    <w:rsid w:val="001A7198"/>
    <w:rsid w:val="001A7AE8"/>
    <w:rsid w:val="001B4301"/>
    <w:rsid w:val="001C2C3E"/>
    <w:rsid w:val="001C4E7D"/>
    <w:rsid w:val="001C5F3E"/>
    <w:rsid w:val="001D2725"/>
    <w:rsid w:val="001D641D"/>
    <w:rsid w:val="001E625E"/>
    <w:rsid w:val="001F4DBB"/>
    <w:rsid w:val="0022068F"/>
    <w:rsid w:val="0022469A"/>
    <w:rsid w:val="002562E7"/>
    <w:rsid w:val="002662C0"/>
    <w:rsid w:val="0027402A"/>
    <w:rsid w:val="00276F82"/>
    <w:rsid w:val="002919E1"/>
    <w:rsid w:val="002C541D"/>
    <w:rsid w:val="002D10DD"/>
    <w:rsid w:val="002D67A7"/>
    <w:rsid w:val="002E2E84"/>
    <w:rsid w:val="002F20A1"/>
    <w:rsid w:val="002F5549"/>
    <w:rsid w:val="00301509"/>
    <w:rsid w:val="00301C8D"/>
    <w:rsid w:val="00306977"/>
    <w:rsid w:val="0032796D"/>
    <w:rsid w:val="00331F98"/>
    <w:rsid w:val="003354B2"/>
    <w:rsid w:val="0034452A"/>
    <w:rsid w:val="00344D2D"/>
    <w:rsid w:val="00346A88"/>
    <w:rsid w:val="003568FF"/>
    <w:rsid w:val="0035779F"/>
    <w:rsid w:val="003740E1"/>
    <w:rsid w:val="0038156C"/>
    <w:rsid w:val="003877CB"/>
    <w:rsid w:val="003A0DF1"/>
    <w:rsid w:val="003A3340"/>
    <w:rsid w:val="003D67B3"/>
    <w:rsid w:val="003E0369"/>
    <w:rsid w:val="003E6538"/>
    <w:rsid w:val="003E7974"/>
    <w:rsid w:val="00400BC4"/>
    <w:rsid w:val="00402655"/>
    <w:rsid w:val="004144F9"/>
    <w:rsid w:val="00421131"/>
    <w:rsid w:val="00427F44"/>
    <w:rsid w:val="00431C51"/>
    <w:rsid w:val="0043274E"/>
    <w:rsid w:val="004448B5"/>
    <w:rsid w:val="004466FB"/>
    <w:rsid w:val="004502B4"/>
    <w:rsid w:val="00466BC3"/>
    <w:rsid w:val="00476387"/>
    <w:rsid w:val="00481460"/>
    <w:rsid w:val="00493AB7"/>
    <w:rsid w:val="00495EA8"/>
    <w:rsid w:val="004A05FA"/>
    <w:rsid w:val="004A2D9C"/>
    <w:rsid w:val="004C328F"/>
    <w:rsid w:val="004C49DD"/>
    <w:rsid w:val="004D5EEC"/>
    <w:rsid w:val="004E3F40"/>
    <w:rsid w:val="004F1EEB"/>
    <w:rsid w:val="004F6699"/>
    <w:rsid w:val="0051367C"/>
    <w:rsid w:val="00537BD0"/>
    <w:rsid w:val="00544FAA"/>
    <w:rsid w:val="0055719C"/>
    <w:rsid w:val="00574646"/>
    <w:rsid w:val="00576C2B"/>
    <w:rsid w:val="00586147"/>
    <w:rsid w:val="005B4506"/>
    <w:rsid w:val="0061081F"/>
    <w:rsid w:val="00650276"/>
    <w:rsid w:val="006550E0"/>
    <w:rsid w:val="0068647B"/>
    <w:rsid w:val="00693A77"/>
    <w:rsid w:val="006A3131"/>
    <w:rsid w:val="006D29EA"/>
    <w:rsid w:val="006D40B5"/>
    <w:rsid w:val="006D434B"/>
    <w:rsid w:val="006E637B"/>
    <w:rsid w:val="007077E5"/>
    <w:rsid w:val="0073587B"/>
    <w:rsid w:val="00737281"/>
    <w:rsid w:val="00752894"/>
    <w:rsid w:val="00755244"/>
    <w:rsid w:val="00764DB5"/>
    <w:rsid w:val="00777264"/>
    <w:rsid w:val="00781CED"/>
    <w:rsid w:val="007D7315"/>
    <w:rsid w:val="007D7FB4"/>
    <w:rsid w:val="007E5834"/>
    <w:rsid w:val="008406C3"/>
    <w:rsid w:val="008504D8"/>
    <w:rsid w:val="00855F7A"/>
    <w:rsid w:val="0086326D"/>
    <w:rsid w:val="00887AA1"/>
    <w:rsid w:val="00890A1A"/>
    <w:rsid w:val="00893381"/>
    <w:rsid w:val="00893FA0"/>
    <w:rsid w:val="008A12D7"/>
    <w:rsid w:val="008A66E7"/>
    <w:rsid w:val="008F6A15"/>
    <w:rsid w:val="0090307A"/>
    <w:rsid w:val="0091018E"/>
    <w:rsid w:val="009514A4"/>
    <w:rsid w:val="00951DA0"/>
    <w:rsid w:val="00952AA7"/>
    <w:rsid w:val="00960DE7"/>
    <w:rsid w:val="00963B33"/>
    <w:rsid w:val="009660B6"/>
    <w:rsid w:val="009664DD"/>
    <w:rsid w:val="00970082"/>
    <w:rsid w:val="009726AE"/>
    <w:rsid w:val="0098781E"/>
    <w:rsid w:val="00990ED7"/>
    <w:rsid w:val="00991C60"/>
    <w:rsid w:val="00993948"/>
    <w:rsid w:val="009A1DFA"/>
    <w:rsid w:val="009A6381"/>
    <w:rsid w:val="009C58BA"/>
    <w:rsid w:val="009D617F"/>
    <w:rsid w:val="009E0DBE"/>
    <w:rsid w:val="009F50EB"/>
    <w:rsid w:val="009F622E"/>
    <w:rsid w:val="00A02D10"/>
    <w:rsid w:val="00A208CC"/>
    <w:rsid w:val="00A246DA"/>
    <w:rsid w:val="00A302DA"/>
    <w:rsid w:val="00A34206"/>
    <w:rsid w:val="00A412CF"/>
    <w:rsid w:val="00A441BF"/>
    <w:rsid w:val="00A44895"/>
    <w:rsid w:val="00A50F9C"/>
    <w:rsid w:val="00A569E3"/>
    <w:rsid w:val="00A61EFC"/>
    <w:rsid w:val="00A8289F"/>
    <w:rsid w:val="00A930D4"/>
    <w:rsid w:val="00A9785E"/>
    <w:rsid w:val="00AB1D82"/>
    <w:rsid w:val="00AD45ED"/>
    <w:rsid w:val="00AE6D18"/>
    <w:rsid w:val="00AF55D6"/>
    <w:rsid w:val="00AF56F7"/>
    <w:rsid w:val="00B10C4B"/>
    <w:rsid w:val="00B15A82"/>
    <w:rsid w:val="00B23C44"/>
    <w:rsid w:val="00B24A97"/>
    <w:rsid w:val="00B34019"/>
    <w:rsid w:val="00B40E66"/>
    <w:rsid w:val="00B5045E"/>
    <w:rsid w:val="00B523D0"/>
    <w:rsid w:val="00B657B6"/>
    <w:rsid w:val="00B70F3F"/>
    <w:rsid w:val="00B8142D"/>
    <w:rsid w:val="00BB6C7B"/>
    <w:rsid w:val="00BE2283"/>
    <w:rsid w:val="00C101A2"/>
    <w:rsid w:val="00C1144E"/>
    <w:rsid w:val="00C14034"/>
    <w:rsid w:val="00C25C86"/>
    <w:rsid w:val="00C32131"/>
    <w:rsid w:val="00C35367"/>
    <w:rsid w:val="00C378B0"/>
    <w:rsid w:val="00C439AF"/>
    <w:rsid w:val="00CA1C2D"/>
    <w:rsid w:val="00CC003A"/>
    <w:rsid w:val="00CD32EC"/>
    <w:rsid w:val="00CD6450"/>
    <w:rsid w:val="00CE1473"/>
    <w:rsid w:val="00CF07AE"/>
    <w:rsid w:val="00D024E5"/>
    <w:rsid w:val="00D11D6D"/>
    <w:rsid w:val="00D27A57"/>
    <w:rsid w:val="00D362B7"/>
    <w:rsid w:val="00D40557"/>
    <w:rsid w:val="00D458E2"/>
    <w:rsid w:val="00D45D84"/>
    <w:rsid w:val="00D50606"/>
    <w:rsid w:val="00D523B1"/>
    <w:rsid w:val="00D602CB"/>
    <w:rsid w:val="00D72A90"/>
    <w:rsid w:val="00D76A79"/>
    <w:rsid w:val="00D95926"/>
    <w:rsid w:val="00DA5276"/>
    <w:rsid w:val="00DE00CF"/>
    <w:rsid w:val="00DF046C"/>
    <w:rsid w:val="00DF6B01"/>
    <w:rsid w:val="00E14568"/>
    <w:rsid w:val="00E15C19"/>
    <w:rsid w:val="00E174A4"/>
    <w:rsid w:val="00E30CEF"/>
    <w:rsid w:val="00E31C91"/>
    <w:rsid w:val="00E368FD"/>
    <w:rsid w:val="00E62596"/>
    <w:rsid w:val="00EA50A9"/>
    <w:rsid w:val="00EC1ED8"/>
    <w:rsid w:val="00EF153F"/>
    <w:rsid w:val="00F0244B"/>
    <w:rsid w:val="00F04AC8"/>
    <w:rsid w:val="00F10EB8"/>
    <w:rsid w:val="00F3622F"/>
    <w:rsid w:val="00F36A3C"/>
    <w:rsid w:val="00F36E1E"/>
    <w:rsid w:val="00F37B43"/>
    <w:rsid w:val="00F433E8"/>
    <w:rsid w:val="00F52253"/>
    <w:rsid w:val="00F525D0"/>
    <w:rsid w:val="00F6374D"/>
    <w:rsid w:val="00F670F8"/>
    <w:rsid w:val="00F67F1B"/>
    <w:rsid w:val="00F7003B"/>
    <w:rsid w:val="00F741D6"/>
    <w:rsid w:val="00F91A58"/>
    <w:rsid w:val="00FC6391"/>
    <w:rsid w:val="00FD75FF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89DB524"/>
  <w15:docId w15:val="{3DADB9A6-B250-4675-8FA4-387656A7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E0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5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8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3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276"/>
    <w:pPr>
      <w:keepNext/>
      <w:keepLines/>
      <w:spacing w:before="40" w:line="249" w:lineRule="auto"/>
      <w:ind w:left="326" w:hanging="1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276"/>
    <w:pPr>
      <w:keepNext/>
      <w:keepLines/>
      <w:spacing w:before="40" w:line="249" w:lineRule="auto"/>
      <w:ind w:left="326" w:hanging="1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276"/>
    <w:pPr>
      <w:keepNext/>
      <w:keepLines/>
      <w:spacing w:before="40" w:line="249" w:lineRule="auto"/>
      <w:ind w:left="326" w:hanging="1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6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815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LightList">
    <w:name w:val="Light List"/>
    <w:basedOn w:val="TableNormal"/>
    <w:uiPriority w:val="61"/>
    <w:rsid w:val="001740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D6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7B3"/>
  </w:style>
  <w:style w:type="paragraph" w:styleId="Footer">
    <w:name w:val="footer"/>
    <w:basedOn w:val="Normal"/>
    <w:link w:val="FooterChar"/>
    <w:uiPriority w:val="99"/>
    <w:unhideWhenUsed/>
    <w:rsid w:val="003D6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7B3"/>
  </w:style>
  <w:style w:type="table" w:styleId="TableGrid">
    <w:name w:val="Table Grid"/>
    <w:basedOn w:val="TableNormal"/>
    <w:uiPriority w:val="39"/>
    <w:rsid w:val="0034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5D6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1B43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68FD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30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5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76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502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65027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65027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zh-CN"/>
    </w:rPr>
  </w:style>
  <w:style w:type="paragraph" w:styleId="NoSpacing">
    <w:name w:val="No Spacing"/>
    <w:uiPriority w:val="1"/>
    <w:qFormat/>
    <w:rsid w:val="004A05FA"/>
  </w:style>
  <w:style w:type="paragraph" w:styleId="Revision">
    <w:name w:val="Revision"/>
    <w:hidden/>
    <w:uiPriority w:val="99"/>
    <w:semiHidden/>
    <w:rsid w:val="002D10DD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0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082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08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27402A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9A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2F5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main-b\Gdrive\Useful\Rebrand%20Store\Writtle%20University%20College\Templates\WUC%20Word%20Document%20Portrait%20Template%20-%20Full%20Colour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E5CB-3829-4011-99B7-601040E2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WUC Word Document Portrait Template - Full Colour Version.dotx</Template>
  <TotalTime>0</TotalTime>
  <Pages>4</Pages>
  <Words>513</Words>
  <Characters>2928</Characters>
  <Application>Microsoft Office Word</Application>
  <DocSecurity>6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Riches, David</cp:lastModifiedBy>
  <cp:revision>2</cp:revision>
  <cp:lastPrinted>2016-07-07T07:55:00Z</cp:lastPrinted>
  <dcterms:created xsi:type="dcterms:W3CDTF">2022-05-13T07:54:00Z</dcterms:created>
  <dcterms:modified xsi:type="dcterms:W3CDTF">2022-05-13T07:54:00Z</dcterms:modified>
</cp:coreProperties>
</file>