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9241" w14:textId="77777777" w:rsidR="004D3DB7" w:rsidRDefault="004D3DB7" w:rsidP="009A580C">
      <w:pPr>
        <w:spacing w:before="120" w:line="276" w:lineRule="auto"/>
        <w:jc w:val="center"/>
        <w:rPr>
          <w:rFonts w:ascii="Calibri" w:hAnsi="Calibri"/>
          <w:b/>
          <w:color w:val="000000" w:themeColor="text1"/>
          <w:sz w:val="44"/>
        </w:rPr>
      </w:pPr>
      <w:r>
        <w:rPr>
          <w:rFonts w:ascii="Calibri" w:hAnsi="Calibri"/>
          <w:b/>
          <w:color w:val="000000" w:themeColor="text1"/>
          <w:sz w:val="44"/>
        </w:rPr>
        <w:t>Academic Appeals Procedure</w:t>
      </w:r>
    </w:p>
    <w:p w14:paraId="1BFF9CBC" w14:textId="77777777" w:rsidR="004D3DB7" w:rsidRPr="009660B6" w:rsidRDefault="004D3DB7" w:rsidP="00297EF1">
      <w:pPr>
        <w:spacing w:before="120" w:line="276" w:lineRule="auto"/>
        <w:ind w:right="-279"/>
        <w:jc w:val="center"/>
        <w:rPr>
          <w:rFonts w:ascii="Calibri" w:hAnsi="Calibri"/>
          <w:b/>
          <w:color w:val="000000" w:themeColor="text1"/>
          <w:sz w:val="44"/>
        </w:rPr>
        <w:sectPr w:rsidR="004D3DB7" w:rsidRPr="009660B6" w:rsidSect="00281B9E">
          <w:headerReference w:type="default" r:id="rId11"/>
          <w:footerReference w:type="default" r:id="rId12"/>
          <w:pgSz w:w="11906" w:h="16838"/>
          <w:pgMar w:top="6804" w:right="1276" w:bottom="1440" w:left="1247" w:header="709" w:footer="0" w:gutter="0"/>
          <w:pgNumType w:start="1"/>
          <w:cols w:space="708"/>
          <w:docGrid w:linePitch="360"/>
        </w:sectPr>
      </w:pPr>
      <w:r>
        <w:rPr>
          <w:rFonts w:ascii="Calibri" w:hAnsi="Calibri"/>
          <w:b/>
          <w:color w:val="000000" w:themeColor="text1"/>
          <w:sz w:val="44"/>
        </w:rPr>
        <w:t>QA158a</w:t>
      </w:r>
    </w:p>
    <w:p w14:paraId="382C98F6" w14:textId="77777777" w:rsidR="004D3DB7" w:rsidRDefault="004D3DB7" w:rsidP="009A580C">
      <w:pPr>
        <w:spacing w:before="120" w:line="276" w:lineRule="auto"/>
        <w:rPr>
          <w:rFonts w:asciiTheme="majorHAnsi" w:hAnsiTheme="majorHAnsi"/>
          <w:color w:val="000000" w:themeColor="text1"/>
        </w:rPr>
      </w:pPr>
    </w:p>
    <w:p w14:paraId="21F4E5D8" w14:textId="77777777" w:rsidR="004D3DB7" w:rsidRDefault="004D3DB7" w:rsidP="009A580C">
      <w:pPr>
        <w:spacing w:before="120" w:line="276" w:lineRule="auto"/>
        <w:rPr>
          <w:rFonts w:asciiTheme="majorHAnsi" w:hAnsiTheme="majorHAnsi"/>
          <w:color w:val="000000" w:themeColor="text1"/>
        </w:rPr>
      </w:pPr>
    </w:p>
    <w:tbl>
      <w:tblPr>
        <w:tblStyle w:val="TableGrid4"/>
        <w:tblpPr w:leftFromText="180" w:rightFromText="180" w:vertAnchor="page" w:horzAnchor="margin" w:tblpY="1676"/>
        <w:tblW w:w="9021" w:type="dxa"/>
        <w:tblLook w:val="04A0" w:firstRow="1" w:lastRow="0" w:firstColumn="1" w:lastColumn="0" w:noHBand="0" w:noVBand="1"/>
        <w:tblCaption w:val="Document version control and information"/>
      </w:tblPr>
      <w:tblGrid>
        <w:gridCol w:w="4474"/>
        <w:gridCol w:w="4547"/>
      </w:tblGrid>
      <w:tr w:rsidR="004D3DB7" w:rsidRPr="008D73EB" w14:paraId="6343264A" w14:textId="77777777" w:rsidTr="00281B9E">
        <w:trPr>
          <w:tblHeader/>
        </w:trPr>
        <w:tc>
          <w:tcPr>
            <w:tcW w:w="4474" w:type="dxa"/>
            <w:shd w:val="clear" w:color="auto" w:fill="D9D9D9"/>
          </w:tcPr>
          <w:p w14:paraId="4B224617" w14:textId="77777777" w:rsidR="004D3DB7" w:rsidRPr="008D73EB" w:rsidRDefault="004D3DB7" w:rsidP="009A580C">
            <w:pPr>
              <w:spacing w:before="120" w:line="276" w:lineRule="auto"/>
              <w:jc w:val="both"/>
              <w:rPr>
                <w:rFonts w:ascii="Calibri" w:hAnsi="Calibri" w:cs="Calibri"/>
                <w:b/>
                <w:szCs w:val="22"/>
              </w:rPr>
            </w:pPr>
            <w:bookmarkStart w:id="0" w:name="_GoBack"/>
            <w:r w:rsidRPr="008D73EB">
              <w:rPr>
                <w:rFonts w:ascii="Calibri" w:hAnsi="Calibri" w:cs="Calibri"/>
                <w:b/>
                <w:szCs w:val="22"/>
              </w:rPr>
              <w:t>Document Reference Number</w:t>
            </w:r>
          </w:p>
        </w:tc>
        <w:tc>
          <w:tcPr>
            <w:tcW w:w="4547" w:type="dxa"/>
          </w:tcPr>
          <w:p w14:paraId="7CE7CA27" w14:textId="77777777" w:rsidR="004D3DB7" w:rsidRPr="008D73EB" w:rsidRDefault="004D3DB7" w:rsidP="009A580C">
            <w:pPr>
              <w:spacing w:before="120" w:line="276" w:lineRule="auto"/>
              <w:jc w:val="both"/>
              <w:rPr>
                <w:rFonts w:ascii="Calibri" w:hAnsi="Calibri" w:cs="Calibri"/>
                <w:szCs w:val="22"/>
              </w:rPr>
            </w:pPr>
            <w:r>
              <w:rPr>
                <w:rFonts w:ascii="Calibri" w:hAnsi="Calibri" w:cs="Calibri"/>
                <w:szCs w:val="22"/>
              </w:rPr>
              <w:t>QA158a</w:t>
            </w:r>
          </w:p>
        </w:tc>
      </w:tr>
      <w:tr w:rsidR="004D3DB7" w:rsidRPr="008D73EB" w14:paraId="56C70B01" w14:textId="77777777" w:rsidTr="00DA1EEE">
        <w:tc>
          <w:tcPr>
            <w:tcW w:w="4474" w:type="dxa"/>
            <w:shd w:val="clear" w:color="auto" w:fill="D9D9D9"/>
          </w:tcPr>
          <w:p w14:paraId="2220C2EC" w14:textId="77777777" w:rsidR="004D3DB7" w:rsidRPr="008D73EB" w:rsidRDefault="004D3DB7" w:rsidP="009A580C">
            <w:pPr>
              <w:spacing w:before="120" w:line="276" w:lineRule="auto"/>
              <w:jc w:val="both"/>
              <w:rPr>
                <w:rFonts w:ascii="Calibri" w:hAnsi="Calibri" w:cs="Calibri"/>
                <w:b/>
                <w:szCs w:val="22"/>
              </w:rPr>
            </w:pPr>
            <w:r w:rsidRPr="008D73EB">
              <w:rPr>
                <w:rFonts w:ascii="Calibri" w:hAnsi="Calibri" w:cs="Calibri"/>
                <w:b/>
                <w:szCs w:val="22"/>
              </w:rPr>
              <w:t>Originating Department</w:t>
            </w:r>
          </w:p>
        </w:tc>
        <w:tc>
          <w:tcPr>
            <w:tcW w:w="4547" w:type="dxa"/>
          </w:tcPr>
          <w:p w14:paraId="5DE289A3" w14:textId="77777777" w:rsidR="004D3DB7" w:rsidRPr="008D73EB" w:rsidRDefault="004D3DB7" w:rsidP="009A580C">
            <w:pPr>
              <w:spacing w:before="120" w:line="276" w:lineRule="auto"/>
              <w:jc w:val="both"/>
              <w:rPr>
                <w:rFonts w:ascii="Calibri" w:hAnsi="Calibri" w:cs="Calibri"/>
                <w:szCs w:val="22"/>
              </w:rPr>
            </w:pPr>
            <w:r w:rsidRPr="008D73EB">
              <w:rPr>
                <w:rFonts w:ascii="Calibri" w:hAnsi="Calibri" w:cs="Calibri"/>
                <w:szCs w:val="22"/>
              </w:rPr>
              <w:t>Quality Office</w:t>
            </w:r>
          </w:p>
        </w:tc>
      </w:tr>
      <w:tr w:rsidR="004D3DB7" w:rsidRPr="008D73EB" w14:paraId="72D90508" w14:textId="77777777" w:rsidTr="00DA1EEE">
        <w:tc>
          <w:tcPr>
            <w:tcW w:w="4474" w:type="dxa"/>
            <w:shd w:val="clear" w:color="auto" w:fill="D9D9D9"/>
          </w:tcPr>
          <w:p w14:paraId="2CFE0892" w14:textId="77777777" w:rsidR="004D3DB7" w:rsidRPr="008D73EB" w:rsidRDefault="004D3DB7" w:rsidP="009A580C">
            <w:pPr>
              <w:spacing w:before="120" w:line="276" w:lineRule="auto"/>
              <w:jc w:val="both"/>
              <w:rPr>
                <w:rFonts w:ascii="Calibri" w:hAnsi="Calibri" w:cs="Calibri"/>
                <w:b/>
                <w:szCs w:val="22"/>
              </w:rPr>
            </w:pPr>
            <w:r w:rsidRPr="008D73EB">
              <w:rPr>
                <w:rFonts w:ascii="Calibri" w:hAnsi="Calibri" w:cs="Calibri"/>
                <w:b/>
                <w:szCs w:val="22"/>
              </w:rPr>
              <w:t>Version Number</w:t>
            </w:r>
          </w:p>
        </w:tc>
        <w:tc>
          <w:tcPr>
            <w:tcW w:w="4547" w:type="dxa"/>
            <w:shd w:val="clear" w:color="auto" w:fill="auto"/>
          </w:tcPr>
          <w:p w14:paraId="289B8F66" w14:textId="77777777" w:rsidR="004D3DB7" w:rsidRPr="008D73EB" w:rsidRDefault="004D3DB7" w:rsidP="009A580C">
            <w:pPr>
              <w:spacing w:before="120" w:line="276" w:lineRule="auto"/>
              <w:jc w:val="both"/>
              <w:rPr>
                <w:rFonts w:ascii="Calibri" w:hAnsi="Calibri" w:cs="Calibri"/>
                <w:szCs w:val="22"/>
              </w:rPr>
            </w:pPr>
            <w:r w:rsidRPr="008D73EB">
              <w:rPr>
                <w:rFonts w:ascii="Calibri" w:hAnsi="Calibri" w:cs="Calibri"/>
                <w:szCs w:val="22"/>
              </w:rPr>
              <w:t>V.1.</w:t>
            </w:r>
            <w:r>
              <w:rPr>
                <w:rFonts w:ascii="Calibri" w:hAnsi="Calibri" w:cs="Calibri"/>
                <w:szCs w:val="22"/>
              </w:rPr>
              <w:t>01</w:t>
            </w:r>
          </w:p>
        </w:tc>
      </w:tr>
      <w:tr w:rsidR="004D3DB7" w:rsidRPr="008D73EB" w14:paraId="0F34F353" w14:textId="77777777" w:rsidTr="00DA1EEE">
        <w:tc>
          <w:tcPr>
            <w:tcW w:w="4474" w:type="dxa"/>
            <w:shd w:val="clear" w:color="auto" w:fill="D9D9D9"/>
          </w:tcPr>
          <w:p w14:paraId="0AA300F7" w14:textId="77777777" w:rsidR="004D3DB7" w:rsidRPr="008D73EB" w:rsidRDefault="004D3DB7" w:rsidP="009A580C">
            <w:pPr>
              <w:spacing w:before="120" w:line="276" w:lineRule="auto"/>
              <w:jc w:val="both"/>
              <w:rPr>
                <w:rFonts w:ascii="Calibri" w:hAnsi="Calibri" w:cs="Calibri"/>
                <w:b/>
                <w:szCs w:val="22"/>
              </w:rPr>
            </w:pPr>
            <w:r w:rsidRPr="008D73EB">
              <w:rPr>
                <w:rFonts w:ascii="Calibri" w:hAnsi="Calibri" w:cs="Calibri"/>
                <w:b/>
                <w:szCs w:val="22"/>
              </w:rPr>
              <w:t>Date Applicable from</w:t>
            </w:r>
          </w:p>
        </w:tc>
        <w:tc>
          <w:tcPr>
            <w:tcW w:w="4547" w:type="dxa"/>
            <w:shd w:val="clear" w:color="auto" w:fill="auto"/>
          </w:tcPr>
          <w:p w14:paraId="2A68BD5A" w14:textId="77777777" w:rsidR="004D3DB7" w:rsidRPr="008D73EB" w:rsidRDefault="004D3DB7" w:rsidP="009A580C">
            <w:pPr>
              <w:spacing w:before="120" w:line="276" w:lineRule="auto"/>
              <w:jc w:val="both"/>
              <w:rPr>
                <w:rFonts w:ascii="Calibri" w:hAnsi="Calibri" w:cs="Calibri"/>
                <w:szCs w:val="22"/>
              </w:rPr>
            </w:pPr>
            <w:r>
              <w:rPr>
                <w:rFonts w:ascii="Calibri" w:hAnsi="Calibri" w:cs="Calibri"/>
                <w:szCs w:val="22"/>
              </w:rPr>
              <w:t>February 2023</w:t>
            </w:r>
          </w:p>
        </w:tc>
      </w:tr>
      <w:tr w:rsidR="004D3DB7" w:rsidRPr="008D73EB" w14:paraId="7A2D305F" w14:textId="77777777" w:rsidTr="00DA1EEE">
        <w:tc>
          <w:tcPr>
            <w:tcW w:w="4474" w:type="dxa"/>
            <w:shd w:val="clear" w:color="auto" w:fill="D9D9D9"/>
          </w:tcPr>
          <w:p w14:paraId="7D677185" w14:textId="77777777" w:rsidR="004D3DB7" w:rsidRPr="008D73EB" w:rsidRDefault="004D3DB7" w:rsidP="009A580C">
            <w:pPr>
              <w:spacing w:before="120" w:line="276" w:lineRule="auto"/>
              <w:jc w:val="both"/>
              <w:rPr>
                <w:rFonts w:ascii="Calibri" w:hAnsi="Calibri" w:cs="Calibri"/>
                <w:b/>
                <w:szCs w:val="22"/>
              </w:rPr>
            </w:pPr>
            <w:r w:rsidRPr="008D73EB">
              <w:rPr>
                <w:rFonts w:ascii="Calibri" w:hAnsi="Calibri" w:cs="Calibri"/>
                <w:b/>
                <w:szCs w:val="22"/>
              </w:rPr>
              <w:t>Date Equality Impact Assessed</w:t>
            </w:r>
          </w:p>
        </w:tc>
        <w:tc>
          <w:tcPr>
            <w:tcW w:w="4547" w:type="dxa"/>
            <w:shd w:val="clear" w:color="auto" w:fill="auto"/>
          </w:tcPr>
          <w:p w14:paraId="047AE844" w14:textId="77777777" w:rsidR="004D3DB7" w:rsidRPr="008D73EB" w:rsidRDefault="004D3DB7" w:rsidP="009A580C">
            <w:pPr>
              <w:spacing w:before="120" w:line="276" w:lineRule="auto"/>
              <w:jc w:val="both"/>
              <w:rPr>
                <w:rFonts w:ascii="Calibri" w:hAnsi="Calibri" w:cs="Calibri"/>
                <w:szCs w:val="22"/>
              </w:rPr>
            </w:pPr>
            <w:r>
              <w:rPr>
                <w:rFonts w:ascii="Calibri" w:hAnsi="Calibri" w:cs="Calibri"/>
                <w:szCs w:val="22"/>
              </w:rPr>
              <w:t>November 2022</w:t>
            </w:r>
          </w:p>
        </w:tc>
      </w:tr>
      <w:tr w:rsidR="004D3DB7" w:rsidRPr="008D73EB" w14:paraId="4E345398" w14:textId="77777777" w:rsidTr="00DA1EEE">
        <w:tc>
          <w:tcPr>
            <w:tcW w:w="4474" w:type="dxa"/>
            <w:shd w:val="clear" w:color="auto" w:fill="D9D9D9"/>
          </w:tcPr>
          <w:p w14:paraId="32A5AB24" w14:textId="77777777" w:rsidR="004D3DB7" w:rsidRPr="008D73EB" w:rsidRDefault="004D3DB7" w:rsidP="009A580C">
            <w:pPr>
              <w:spacing w:before="120" w:line="276" w:lineRule="auto"/>
              <w:jc w:val="both"/>
              <w:rPr>
                <w:rFonts w:ascii="Calibri" w:hAnsi="Calibri" w:cs="Calibri"/>
                <w:b/>
                <w:szCs w:val="22"/>
              </w:rPr>
            </w:pPr>
            <w:r w:rsidRPr="008D73EB">
              <w:rPr>
                <w:rFonts w:ascii="Calibri" w:hAnsi="Calibri" w:cs="Calibri"/>
                <w:b/>
                <w:szCs w:val="22"/>
              </w:rPr>
              <w:t>Approved and reviewed by</w:t>
            </w:r>
          </w:p>
        </w:tc>
        <w:tc>
          <w:tcPr>
            <w:tcW w:w="4547" w:type="dxa"/>
            <w:shd w:val="clear" w:color="auto" w:fill="auto"/>
          </w:tcPr>
          <w:p w14:paraId="18A35D05" w14:textId="77777777" w:rsidR="004D3DB7" w:rsidRPr="008D73EB" w:rsidRDefault="004D3DB7" w:rsidP="009A580C">
            <w:pPr>
              <w:spacing w:before="120" w:line="276" w:lineRule="auto"/>
              <w:jc w:val="both"/>
              <w:rPr>
                <w:rFonts w:ascii="Calibri" w:hAnsi="Calibri" w:cs="Calibri"/>
                <w:szCs w:val="22"/>
              </w:rPr>
            </w:pPr>
            <w:r w:rsidRPr="008D73EB">
              <w:rPr>
                <w:rFonts w:ascii="Calibri" w:hAnsi="Calibri" w:cs="Calibri"/>
                <w:szCs w:val="22"/>
              </w:rPr>
              <w:t>Academic Board</w:t>
            </w:r>
          </w:p>
        </w:tc>
      </w:tr>
      <w:tr w:rsidR="004D3DB7" w:rsidRPr="008D73EB" w14:paraId="63D37020" w14:textId="77777777" w:rsidTr="00DA1EEE">
        <w:tc>
          <w:tcPr>
            <w:tcW w:w="4474" w:type="dxa"/>
            <w:shd w:val="clear" w:color="auto" w:fill="D9D9D9"/>
          </w:tcPr>
          <w:p w14:paraId="4877D2B3" w14:textId="77777777" w:rsidR="004D3DB7" w:rsidRPr="008D73EB" w:rsidRDefault="004D3DB7" w:rsidP="009A580C">
            <w:pPr>
              <w:spacing w:before="120" w:line="276" w:lineRule="auto"/>
              <w:jc w:val="both"/>
              <w:rPr>
                <w:rFonts w:ascii="Calibri" w:hAnsi="Calibri" w:cs="Calibri"/>
                <w:b/>
                <w:szCs w:val="22"/>
              </w:rPr>
            </w:pPr>
            <w:r w:rsidRPr="008D73EB">
              <w:rPr>
                <w:rFonts w:ascii="Calibri" w:hAnsi="Calibri" w:cs="Calibri"/>
                <w:b/>
                <w:szCs w:val="22"/>
              </w:rPr>
              <w:t>Date Approved</w:t>
            </w:r>
          </w:p>
        </w:tc>
        <w:tc>
          <w:tcPr>
            <w:tcW w:w="4547" w:type="dxa"/>
            <w:shd w:val="clear" w:color="auto" w:fill="auto"/>
          </w:tcPr>
          <w:p w14:paraId="37DAE6C2" w14:textId="77777777" w:rsidR="004D3DB7" w:rsidRPr="008D73EB" w:rsidRDefault="004D3DB7" w:rsidP="009A580C">
            <w:pPr>
              <w:spacing w:before="120" w:line="276" w:lineRule="auto"/>
              <w:jc w:val="both"/>
              <w:rPr>
                <w:rFonts w:ascii="Calibri" w:hAnsi="Calibri" w:cs="Calibri"/>
                <w:szCs w:val="22"/>
              </w:rPr>
            </w:pPr>
            <w:r>
              <w:rPr>
                <w:rFonts w:ascii="Calibri" w:hAnsi="Calibri" w:cs="Calibri"/>
                <w:szCs w:val="22"/>
              </w:rPr>
              <w:t>February 2023</w:t>
            </w:r>
          </w:p>
        </w:tc>
      </w:tr>
      <w:tr w:rsidR="004D3DB7" w:rsidRPr="008D73EB" w14:paraId="5D164B9B" w14:textId="77777777" w:rsidTr="00DA1EEE">
        <w:tc>
          <w:tcPr>
            <w:tcW w:w="4474" w:type="dxa"/>
            <w:shd w:val="clear" w:color="auto" w:fill="D9D9D9"/>
          </w:tcPr>
          <w:p w14:paraId="418158B0" w14:textId="77777777" w:rsidR="004D3DB7" w:rsidRPr="008D73EB" w:rsidRDefault="004D3DB7" w:rsidP="009A580C">
            <w:pPr>
              <w:spacing w:before="120" w:line="276" w:lineRule="auto"/>
              <w:jc w:val="both"/>
              <w:rPr>
                <w:rFonts w:ascii="Calibri" w:hAnsi="Calibri" w:cs="Calibri"/>
                <w:b/>
                <w:szCs w:val="22"/>
              </w:rPr>
            </w:pPr>
            <w:r w:rsidRPr="008D73EB">
              <w:rPr>
                <w:rFonts w:ascii="Calibri" w:hAnsi="Calibri" w:cs="Calibri"/>
                <w:b/>
                <w:szCs w:val="22"/>
              </w:rPr>
              <w:t>Date of last review</w:t>
            </w:r>
          </w:p>
        </w:tc>
        <w:tc>
          <w:tcPr>
            <w:tcW w:w="4547" w:type="dxa"/>
            <w:shd w:val="clear" w:color="auto" w:fill="auto"/>
          </w:tcPr>
          <w:p w14:paraId="1A342258" w14:textId="77777777" w:rsidR="004D3DB7" w:rsidRPr="008D73EB" w:rsidRDefault="004D3DB7" w:rsidP="009A580C">
            <w:pPr>
              <w:spacing w:before="120" w:line="276" w:lineRule="auto"/>
              <w:jc w:val="both"/>
              <w:rPr>
                <w:rFonts w:ascii="Calibri" w:hAnsi="Calibri" w:cs="Calibri"/>
                <w:szCs w:val="22"/>
              </w:rPr>
            </w:pPr>
            <w:r>
              <w:rPr>
                <w:rFonts w:ascii="Calibri" w:hAnsi="Calibri" w:cs="Calibri"/>
                <w:szCs w:val="22"/>
              </w:rPr>
              <w:t>November 2022</w:t>
            </w:r>
          </w:p>
        </w:tc>
      </w:tr>
      <w:tr w:rsidR="004D3DB7" w:rsidRPr="008D73EB" w14:paraId="73EAB526" w14:textId="77777777" w:rsidTr="00DA1EEE">
        <w:tc>
          <w:tcPr>
            <w:tcW w:w="4474" w:type="dxa"/>
            <w:shd w:val="clear" w:color="auto" w:fill="D9D9D9"/>
          </w:tcPr>
          <w:p w14:paraId="3B5F57A5" w14:textId="77777777" w:rsidR="004D3DB7" w:rsidRPr="008D73EB" w:rsidRDefault="004D3DB7" w:rsidP="009A580C">
            <w:pPr>
              <w:spacing w:before="120" w:line="276" w:lineRule="auto"/>
              <w:jc w:val="both"/>
              <w:rPr>
                <w:rFonts w:ascii="Calibri" w:hAnsi="Calibri" w:cs="Calibri"/>
                <w:b/>
                <w:szCs w:val="22"/>
              </w:rPr>
            </w:pPr>
            <w:r w:rsidRPr="008D73EB">
              <w:rPr>
                <w:rFonts w:ascii="Calibri" w:hAnsi="Calibri" w:cs="Calibri"/>
                <w:b/>
                <w:szCs w:val="22"/>
              </w:rPr>
              <w:t>Access Public (website) or Internal (MyWi)</w:t>
            </w:r>
          </w:p>
        </w:tc>
        <w:tc>
          <w:tcPr>
            <w:tcW w:w="4547" w:type="dxa"/>
            <w:shd w:val="clear" w:color="auto" w:fill="auto"/>
          </w:tcPr>
          <w:p w14:paraId="53B222B7" w14:textId="77777777" w:rsidR="004D3DB7" w:rsidRPr="008D73EB" w:rsidRDefault="004D3DB7" w:rsidP="009A580C">
            <w:pPr>
              <w:spacing w:before="120" w:line="276" w:lineRule="auto"/>
              <w:jc w:val="both"/>
              <w:rPr>
                <w:rFonts w:ascii="Calibri" w:hAnsi="Calibri" w:cs="Calibri"/>
                <w:szCs w:val="22"/>
              </w:rPr>
            </w:pPr>
            <w:r>
              <w:rPr>
                <w:rFonts w:ascii="Calibri" w:hAnsi="Calibri" w:cs="Calibri"/>
                <w:szCs w:val="22"/>
              </w:rPr>
              <w:t>Website and MyWi</w:t>
            </w:r>
          </w:p>
        </w:tc>
      </w:tr>
      <w:tr w:rsidR="004D3DB7" w:rsidRPr="008D73EB" w14:paraId="77778591" w14:textId="77777777" w:rsidTr="00DA1EEE">
        <w:tc>
          <w:tcPr>
            <w:tcW w:w="4474" w:type="dxa"/>
            <w:shd w:val="clear" w:color="auto" w:fill="D9D9D9"/>
          </w:tcPr>
          <w:p w14:paraId="0E345783" w14:textId="77777777" w:rsidR="004D3DB7" w:rsidRPr="008D73EB" w:rsidRDefault="004D3DB7" w:rsidP="009A580C">
            <w:pPr>
              <w:spacing w:before="120" w:line="276" w:lineRule="auto"/>
              <w:jc w:val="both"/>
              <w:rPr>
                <w:rFonts w:ascii="Calibri" w:hAnsi="Calibri" w:cs="Calibri"/>
                <w:b/>
                <w:szCs w:val="22"/>
              </w:rPr>
            </w:pPr>
            <w:r w:rsidRPr="008D73EB">
              <w:rPr>
                <w:rFonts w:ascii="Calibri" w:hAnsi="Calibri" w:cs="Calibri"/>
                <w:b/>
                <w:szCs w:val="22"/>
              </w:rPr>
              <w:t>Access Staff and Student or Staff Only</w:t>
            </w:r>
          </w:p>
        </w:tc>
        <w:tc>
          <w:tcPr>
            <w:tcW w:w="4547" w:type="dxa"/>
          </w:tcPr>
          <w:p w14:paraId="090DF4DD" w14:textId="77777777" w:rsidR="004D3DB7" w:rsidRPr="008D73EB" w:rsidRDefault="004D3DB7" w:rsidP="009A580C">
            <w:pPr>
              <w:spacing w:before="120" w:line="276" w:lineRule="auto"/>
              <w:jc w:val="both"/>
              <w:rPr>
                <w:rFonts w:ascii="Calibri" w:hAnsi="Calibri" w:cs="Calibri"/>
                <w:szCs w:val="22"/>
              </w:rPr>
            </w:pPr>
            <w:r>
              <w:rPr>
                <w:rFonts w:ascii="Calibri" w:hAnsi="Calibri" w:cs="Calibri"/>
                <w:szCs w:val="22"/>
              </w:rPr>
              <w:t>Staff and Students</w:t>
            </w:r>
          </w:p>
        </w:tc>
      </w:tr>
      <w:tr w:rsidR="004D3DB7" w:rsidRPr="008D73EB" w14:paraId="6B24DB10" w14:textId="77777777" w:rsidTr="00DA1EEE">
        <w:tc>
          <w:tcPr>
            <w:tcW w:w="4474" w:type="dxa"/>
            <w:shd w:val="clear" w:color="auto" w:fill="D9D9D9"/>
          </w:tcPr>
          <w:p w14:paraId="3F4C1039" w14:textId="77777777" w:rsidR="004D3DB7" w:rsidRPr="008D73EB" w:rsidRDefault="004D3DB7" w:rsidP="009A580C">
            <w:pPr>
              <w:spacing w:before="120" w:line="276" w:lineRule="auto"/>
              <w:jc w:val="both"/>
              <w:rPr>
                <w:rFonts w:ascii="Calibri" w:hAnsi="Calibri" w:cs="Calibri"/>
                <w:b/>
                <w:szCs w:val="22"/>
              </w:rPr>
            </w:pPr>
            <w:r w:rsidRPr="008D73EB">
              <w:rPr>
                <w:rFonts w:ascii="Calibri" w:hAnsi="Calibri" w:cs="Calibri"/>
                <w:b/>
                <w:szCs w:val="22"/>
              </w:rPr>
              <w:t>Application to Collaborative</w:t>
            </w:r>
          </w:p>
        </w:tc>
        <w:tc>
          <w:tcPr>
            <w:tcW w:w="4547" w:type="dxa"/>
          </w:tcPr>
          <w:p w14:paraId="641740FB" w14:textId="77777777" w:rsidR="004D3DB7" w:rsidRPr="008D73EB" w:rsidRDefault="004D3DB7" w:rsidP="009A580C">
            <w:pPr>
              <w:spacing w:before="120" w:line="276" w:lineRule="auto"/>
              <w:jc w:val="both"/>
              <w:rPr>
                <w:rFonts w:ascii="Calibri" w:hAnsi="Calibri" w:cs="Calibri"/>
                <w:szCs w:val="22"/>
              </w:rPr>
            </w:pPr>
            <w:r w:rsidRPr="008D73EB">
              <w:rPr>
                <w:rFonts w:ascii="Calibri" w:hAnsi="Calibri" w:cs="Calibri"/>
                <w:szCs w:val="22"/>
              </w:rPr>
              <w:t xml:space="preserve">Mandatory </w:t>
            </w:r>
          </w:p>
        </w:tc>
      </w:tr>
      <w:bookmarkEnd w:id="0"/>
    </w:tbl>
    <w:p w14:paraId="7FF4D4A4" w14:textId="77777777" w:rsidR="004D3DB7" w:rsidRDefault="004D3DB7" w:rsidP="009A580C">
      <w:pPr>
        <w:pStyle w:val="Heading1"/>
        <w:spacing w:before="120" w:line="276" w:lineRule="auto"/>
        <w:sectPr w:rsidR="004D3DB7" w:rsidSect="008D73EB">
          <w:headerReference w:type="default" r:id="rId13"/>
          <w:footerReference w:type="default" r:id="rId14"/>
          <w:pgSz w:w="11900" w:h="16840"/>
          <w:pgMar w:top="709" w:right="1418" w:bottom="709" w:left="1418" w:header="567" w:footer="567" w:gutter="0"/>
          <w:cols w:space="708"/>
          <w:docGrid w:linePitch="360"/>
        </w:sectPr>
      </w:pPr>
    </w:p>
    <w:p w14:paraId="6E8EA411" w14:textId="77777777" w:rsidR="004D3DB7" w:rsidRPr="00EE301D" w:rsidRDefault="004D3DB7" w:rsidP="009A580C">
      <w:pPr>
        <w:pStyle w:val="Heading1"/>
        <w:spacing w:before="120" w:line="276" w:lineRule="auto"/>
      </w:pPr>
      <w:r w:rsidRPr="00EE301D">
        <w:lastRenderedPageBreak/>
        <w:t>ACADEMIC APPEAL PROCEDURES</w:t>
      </w:r>
    </w:p>
    <w:p w14:paraId="71391031" w14:textId="77777777" w:rsidR="004D3DB7" w:rsidRPr="00EE301D" w:rsidRDefault="004D3DB7" w:rsidP="009A580C">
      <w:pPr>
        <w:spacing w:before="120" w:line="276" w:lineRule="auto"/>
        <w:rPr>
          <w:rFonts w:asciiTheme="majorHAnsi" w:hAnsiTheme="majorHAnsi"/>
          <w:b/>
          <w:i/>
          <w:color w:val="000000" w:themeColor="text1"/>
        </w:rPr>
      </w:pPr>
      <w:r w:rsidRPr="00EE301D">
        <w:rPr>
          <w:rFonts w:asciiTheme="majorHAnsi" w:hAnsiTheme="majorHAnsi"/>
          <w:b/>
          <w:i/>
          <w:color w:val="000000" w:themeColor="text1"/>
        </w:rPr>
        <w:t>Procedure for dealing with an appeal by an undergraduate or taught-course postgraduate student who is enrolled on a programme leading to an award of the Writtle University College against substantive decisions of an Examination Board.</w:t>
      </w:r>
    </w:p>
    <w:p w14:paraId="352F16EC" w14:textId="77777777" w:rsidR="004D3DB7" w:rsidRPr="009A580C" w:rsidRDefault="004D3DB7" w:rsidP="00734E73">
      <w:pPr>
        <w:numPr>
          <w:ilvl w:val="0"/>
          <w:numId w:val="37"/>
        </w:numPr>
        <w:spacing w:before="120" w:line="276" w:lineRule="auto"/>
        <w:rPr>
          <w:rFonts w:asciiTheme="majorHAnsi" w:hAnsiTheme="majorHAnsi"/>
          <w:color w:val="000000" w:themeColor="text1"/>
        </w:rPr>
      </w:pPr>
      <w:r w:rsidRPr="009A580C">
        <w:rPr>
          <w:rFonts w:asciiTheme="majorHAnsi" w:hAnsiTheme="majorHAnsi"/>
          <w:color w:val="000000" w:themeColor="text1"/>
        </w:rPr>
        <w:t xml:space="preserve">A student who wishes to appeal against the decision of a Board of Examiners must do so in writing on the Academic Appeal Form, stating fully and precisely the grounds for appeal. A student appealing against the progress decision of a First or Second Year Board of Examiners must submit a formal appeal within </w:t>
      </w:r>
      <w:r w:rsidRPr="009A580C">
        <w:rPr>
          <w:rFonts w:asciiTheme="majorHAnsi" w:hAnsiTheme="majorHAnsi"/>
          <w:b/>
          <w:color w:val="000000" w:themeColor="text1"/>
        </w:rPr>
        <w:t>two weeks</w:t>
      </w:r>
      <w:r w:rsidRPr="009A580C">
        <w:rPr>
          <w:rFonts w:asciiTheme="majorHAnsi" w:hAnsiTheme="majorHAnsi"/>
          <w:color w:val="000000" w:themeColor="text1"/>
        </w:rPr>
        <w:t xml:space="preserve"> of the publication of results. In all other cases the appeal must be submitted within four weeks of publication of the results.</w:t>
      </w:r>
    </w:p>
    <w:p w14:paraId="6A8F1D98" w14:textId="77777777" w:rsidR="004D3DB7" w:rsidRPr="00EE301D" w:rsidRDefault="004D3DB7" w:rsidP="009A580C">
      <w:pPr>
        <w:numPr>
          <w:ilvl w:val="0"/>
          <w:numId w:val="37"/>
        </w:numPr>
        <w:spacing w:before="120" w:line="276" w:lineRule="auto"/>
        <w:rPr>
          <w:rFonts w:asciiTheme="majorHAnsi" w:hAnsiTheme="majorHAnsi"/>
          <w:color w:val="000000" w:themeColor="text1"/>
        </w:rPr>
      </w:pPr>
      <w:r w:rsidRPr="00EE301D">
        <w:rPr>
          <w:rFonts w:asciiTheme="majorHAnsi" w:hAnsiTheme="majorHAnsi"/>
          <w:b/>
          <w:color w:val="000000" w:themeColor="text1"/>
        </w:rPr>
        <w:t>Academic Appeal Form</w:t>
      </w:r>
      <w:r w:rsidRPr="00EE301D">
        <w:rPr>
          <w:rFonts w:asciiTheme="majorHAnsi" w:hAnsiTheme="majorHAnsi"/>
          <w:color w:val="000000" w:themeColor="text1"/>
        </w:rPr>
        <w:t xml:space="preserve"> (SF004) is available from </w:t>
      </w:r>
      <w:r w:rsidR="00616340">
        <w:rPr>
          <w:rFonts w:asciiTheme="majorHAnsi" w:hAnsiTheme="majorHAnsi"/>
          <w:color w:val="000000" w:themeColor="text1"/>
        </w:rPr>
        <w:t>Quality and Registry</w:t>
      </w:r>
      <w:r>
        <w:rPr>
          <w:rFonts w:asciiTheme="majorHAnsi" w:hAnsiTheme="majorHAnsi"/>
          <w:color w:val="000000" w:themeColor="text1"/>
        </w:rPr>
        <w:t xml:space="preserve">, Room L69, </w:t>
      </w:r>
      <w:hyperlink r:id="rId15" w:history="1">
        <w:r w:rsidRPr="00156D4B">
          <w:rPr>
            <w:rStyle w:val="Hyperlink"/>
            <w:rFonts w:asciiTheme="majorHAnsi" w:hAnsiTheme="majorHAnsi"/>
          </w:rPr>
          <w:t>or can be found on Moodle.</w:t>
        </w:r>
      </w:hyperlink>
    </w:p>
    <w:p w14:paraId="0F6F4376" w14:textId="77777777" w:rsidR="004D3DB7" w:rsidRPr="009A580C" w:rsidRDefault="004D3DB7" w:rsidP="0010655E">
      <w:pPr>
        <w:numPr>
          <w:ilvl w:val="0"/>
          <w:numId w:val="37"/>
        </w:numPr>
        <w:spacing w:before="120" w:line="276" w:lineRule="auto"/>
        <w:rPr>
          <w:rFonts w:asciiTheme="majorHAnsi" w:hAnsiTheme="majorHAnsi"/>
          <w:color w:val="000000" w:themeColor="text1"/>
        </w:rPr>
      </w:pPr>
      <w:r w:rsidRPr="009A580C">
        <w:rPr>
          <w:rFonts w:asciiTheme="majorHAnsi" w:hAnsiTheme="majorHAnsi"/>
          <w:color w:val="000000" w:themeColor="text1"/>
        </w:rPr>
        <w:t xml:space="preserve">The main legitimate grounds for appeal are the following: </w:t>
      </w:r>
    </w:p>
    <w:p w14:paraId="3A7BC748" w14:textId="77777777" w:rsidR="004D3DB7" w:rsidRPr="00EE301D" w:rsidRDefault="004D3DB7" w:rsidP="009A580C">
      <w:pPr>
        <w:numPr>
          <w:ilvl w:val="0"/>
          <w:numId w:val="38"/>
        </w:numPr>
        <w:spacing w:before="120" w:line="276" w:lineRule="auto"/>
        <w:rPr>
          <w:rFonts w:asciiTheme="majorHAnsi" w:hAnsiTheme="majorHAnsi"/>
          <w:color w:val="000000" w:themeColor="text1"/>
        </w:rPr>
      </w:pPr>
      <w:r w:rsidRPr="00EE301D">
        <w:rPr>
          <w:rFonts w:asciiTheme="majorHAnsi" w:hAnsiTheme="majorHAnsi"/>
          <w:color w:val="000000" w:themeColor="text1"/>
        </w:rPr>
        <w:t xml:space="preserve">Extenuating circumstances of which the Board of Examiners was unaware and of which the student could not reasonably have been expected to inform the Board of Examiners in advance, of such a nature as to cause reasonable doubt as to whether the result might have been different had they not occurred.  </w:t>
      </w:r>
    </w:p>
    <w:p w14:paraId="3998DE96" w14:textId="77777777" w:rsidR="004D3DB7" w:rsidRPr="009A580C" w:rsidRDefault="004D3DB7" w:rsidP="00DF11C2">
      <w:pPr>
        <w:numPr>
          <w:ilvl w:val="0"/>
          <w:numId w:val="38"/>
        </w:numPr>
        <w:spacing w:before="120" w:line="276" w:lineRule="auto"/>
        <w:rPr>
          <w:rFonts w:asciiTheme="majorHAnsi" w:hAnsiTheme="majorHAnsi"/>
          <w:color w:val="000000" w:themeColor="text1"/>
        </w:rPr>
      </w:pPr>
      <w:r w:rsidRPr="009A580C">
        <w:rPr>
          <w:rFonts w:asciiTheme="majorHAnsi" w:hAnsiTheme="majorHAnsi"/>
          <w:color w:val="000000" w:themeColor="text1"/>
        </w:rPr>
        <w:t xml:space="preserve">Procedural irregularities in the conduct of the Board of Examiners (including alleged administrative error) of such a nature as to cause reasonable doubt as to whether the result might have been different had they not occurred. </w:t>
      </w:r>
    </w:p>
    <w:p w14:paraId="389FFAA2" w14:textId="77777777" w:rsidR="004D3DB7" w:rsidRPr="00EE301D" w:rsidRDefault="004D3DB7" w:rsidP="009A580C">
      <w:pPr>
        <w:numPr>
          <w:ilvl w:val="0"/>
          <w:numId w:val="37"/>
        </w:numPr>
        <w:spacing w:before="120" w:line="276" w:lineRule="auto"/>
        <w:rPr>
          <w:rFonts w:asciiTheme="majorHAnsi" w:hAnsiTheme="majorHAnsi"/>
          <w:color w:val="000000" w:themeColor="text1"/>
        </w:rPr>
      </w:pPr>
      <w:r w:rsidRPr="00EE301D">
        <w:rPr>
          <w:rFonts w:asciiTheme="majorHAnsi" w:hAnsiTheme="majorHAnsi"/>
          <w:color w:val="000000" w:themeColor="text1"/>
        </w:rPr>
        <w:t xml:space="preserve">Other grounds will be considered on their merits. </w:t>
      </w:r>
    </w:p>
    <w:p w14:paraId="6C5EE008" w14:textId="77777777" w:rsidR="004D3DB7" w:rsidRPr="009A580C" w:rsidRDefault="004D3DB7" w:rsidP="009202E8">
      <w:pPr>
        <w:numPr>
          <w:ilvl w:val="0"/>
          <w:numId w:val="37"/>
        </w:numPr>
        <w:spacing w:before="120" w:line="276" w:lineRule="auto"/>
        <w:rPr>
          <w:rFonts w:asciiTheme="majorHAnsi" w:hAnsiTheme="majorHAnsi"/>
          <w:color w:val="000000" w:themeColor="text1"/>
        </w:rPr>
      </w:pPr>
      <w:r w:rsidRPr="009A580C">
        <w:rPr>
          <w:rFonts w:asciiTheme="majorHAnsi" w:hAnsiTheme="majorHAnsi"/>
          <w:color w:val="000000" w:themeColor="text1"/>
        </w:rPr>
        <w:t xml:space="preserve">The following are not considered legitimate grounds on which to appeal, and any appeals based exclusively on one or more of these grounds will be rejected automatically, and a Completion of Procedures letter would be issued: </w:t>
      </w:r>
    </w:p>
    <w:p w14:paraId="0EC5822E" w14:textId="77777777" w:rsidR="009A580C" w:rsidRDefault="004D3DB7" w:rsidP="00EB4FC6">
      <w:pPr>
        <w:numPr>
          <w:ilvl w:val="0"/>
          <w:numId w:val="39"/>
        </w:numPr>
        <w:spacing w:before="120" w:line="276" w:lineRule="auto"/>
        <w:rPr>
          <w:rFonts w:asciiTheme="majorHAnsi" w:hAnsiTheme="majorHAnsi"/>
          <w:color w:val="000000" w:themeColor="text1"/>
        </w:rPr>
      </w:pPr>
      <w:r w:rsidRPr="009A580C">
        <w:rPr>
          <w:rFonts w:asciiTheme="majorHAnsi" w:hAnsiTheme="majorHAnsi"/>
          <w:color w:val="000000" w:themeColor="text1"/>
        </w:rPr>
        <w:t xml:space="preserve">Disagreement with a mark or grade and/or appeals against the academic judgement of internal or external examiners. Coursework and examinations cannot be remarked, except in cases of procedural irregularities. </w:t>
      </w:r>
    </w:p>
    <w:p w14:paraId="4A1FC825" w14:textId="77777777" w:rsidR="009A580C" w:rsidRDefault="004D3DB7" w:rsidP="00242464">
      <w:pPr>
        <w:numPr>
          <w:ilvl w:val="0"/>
          <w:numId w:val="39"/>
        </w:numPr>
        <w:spacing w:before="120" w:line="276" w:lineRule="auto"/>
        <w:rPr>
          <w:rFonts w:asciiTheme="majorHAnsi" w:hAnsiTheme="majorHAnsi"/>
          <w:color w:val="000000" w:themeColor="text1"/>
        </w:rPr>
      </w:pPr>
      <w:r w:rsidRPr="009A580C">
        <w:rPr>
          <w:rFonts w:asciiTheme="majorHAnsi" w:hAnsiTheme="majorHAnsi"/>
          <w:color w:val="000000" w:themeColor="text1"/>
        </w:rPr>
        <w:t>Any provisional mark or informal assessment of the student's work by a member of staff that is not the final mark approved by the Board of Examiners.</w:t>
      </w:r>
    </w:p>
    <w:p w14:paraId="404E1E70" w14:textId="77777777" w:rsidR="004D3DB7" w:rsidRPr="009A580C" w:rsidRDefault="004D3DB7" w:rsidP="00242464">
      <w:pPr>
        <w:numPr>
          <w:ilvl w:val="0"/>
          <w:numId w:val="39"/>
        </w:numPr>
        <w:spacing w:before="120" w:line="276" w:lineRule="auto"/>
        <w:rPr>
          <w:rFonts w:asciiTheme="majorHAnsi" w:hAnsiTheme="majorHAnsi"/>
          <w:color w:val="000000" w:themeColor="text1"/>
        </w:rPr>
      </w:pPr>
      <w:r w:rsidRPr="009A580C">
        <w:rPr>
          <w:rFonts w:asciiTheme="majorHAnsi" w:hAnsiTheme="majorHAnsi"/>
          <w:color w:val="000000" w:themeColor="text1"/>
        </w:rPr>
        <w:t>The retrospective reporting of extenuating circumstances which a student might reasonably have been expected to disclose to the Board of Examiners before their meeting.</w:t>
      </w:r>
    </w:p>
    <w:p w14:paraId="0FF29737" w14:textId="77777777" w:rsidR="004D3DB7" w:rsidRPr="00EE301D" w:rsidRDefault="004D3DB7" w:rsidP="009A580C">
      <w:pPr>
        <w:spacing w:before="120" w:line="276" w:lineRule="auto"/>
        <w:rPr>
          <w:rFonts w:asciiTheme="majorHAnsi" w:hAnsiTheme="majorHAnsi"/>
          <w:color w:val="000000" w:themeColor="text1"/>
        </w:rPr>
      </w:pPr>
    </w:p>
    <w:p w14:paraId="689FDB5D" w14:textId="77777777" w:rsidR="004D3DB7" w:rsidRPr="00EE301D" w:rsidRDefault="004D3DB7" w:rsidP="009A580C">
      <w:pPr>
        <w:numPr>
          <w:ilvl w:val="0"/>
          <w:numId w:val="39"/>
        </w:numPr>
        <w:spacing w:before="120" w:line="276" w:lineRule="auto"/>
        <w:rPr>
          <w:rFonts w:asciiTheme="majorHAnsi" w:hAnsiTheme="majorHAnsi"/>
          <w:color w:val="000000" w:themeColor="text1"/>
        </w:rPr>
      </w:pPr>
      <w:r w:rsidRPr="00EE301D">
        <w:rPr>
          <w:rFonts w:asciiTheme="majorHAnsi" w:hAnsiTheme="majorHAnsi"/>
          <w:color w:val="000000" w:themeColor="text1"/>
        </w:rPr>
        <w:lastRenderedPageBreak/>
        <w:t>Appeals against the judgement of the Board of Examiners in assessing</w:t>
      </w:r>
      <w:r>
        <w:rPr>
          <w:rFonts w:asciiTheme="majorHAnsi" w:hAnsiTheme="majorHAnsi"/>
          <w:color w:val="000000" w:themeColor="text1"/>
        </w:rPr>
        <w:t xml:space="preserve"> the extenuating circumstances.</w:t>
      </w:r>
      <w:r w:rsidRPr="00EE301D">
        <w:rPr>
          <w:rFonts w:asciiTheme="majorHAnsi" w:hAnsiTheme="majorHAnsi"/>
          <w:color w:val="000000" w:themeColor="text1"/>
        </w:rPr>
        <w:t xml:space="preserve">  </w:t>
      </w:r>
    </w:p>
    <w:p w14:paraId="57AF7C70" w14:textId="77777777" w:rsidR="004D3DB7" w:rsidRPr="00EE301D" w:rsidRDefault="004D3DB7" w:rsidP="009A580C">
      <w:pPr>
        <w:numPr>
          <w:ilvl w:val="0"/>
          <w:numId w:val="39"/>
        </w:numPr>
        <w:spacing w:before="120" w:line="276" w:lineRule="auto"/>
        <w:rPr>
          <w:rFonts w:asciiTheme="majorHAnsi" w:hAnsiTheme="majorHAnsi"/>
          <w:color w:val="000000" w:themeColor="text1"/>
        </w:rPr>
      </w:pPr>
      <w:r w:rsidRPr="00EE301D">
        <w:rPr>
          <w:rFonts w:asciiTheme="majorHAnsi" w:hAnsiTheme="majorHAnsi"/>
          <w:color w:val="000000" w:themeColor="text1"/>
        </w:rPr>
        <w:t xml:space="preserve">Marginal failure to attain a higher class of degree. </w:t>
      </w:r>
    </w:p>
    <w:p w14:paraId="0245C5FC" w14:textId="77777777" w:rsidR="004D3DB7" w:rsidRPr="00EE301D" w:rsidRDefault="004D3DB7" w:rsidP="009A580C">
      <w:pPr>
        <w:numPr>
          <w:ilvl w:val="0"/>
          <w:numId w:val="39"/>
        </w:numPr>
        <w:spacing w:before="120" w:line="276" w:lineRule="auto"/>
        <w:rPr>
          <w:rFonts w:asciiTheme="majorHAnsi" w:hAnsiTheme="majorHAnsi"/>
          <w:color w:val="000000" w:themeColor="text1"/>
        </w:rPr>
      </w:pPr>
      <w:r w:rsidRPr="00EE301D">
        <w:rPr>
          <w:rFonts w:asciiTheme="majorHAnsi" w:hAnsiTheme="majorHAnsi"/>
          <w:color w:val="000000" w:themeColor="text1"/>
        </w:rPr>
        <w:t>Appeals where the grounds of complaint concern the inadequacy of teaching or other arrangements during the period of study; such complaints must be raised, in writing, before the examination board meets.</w:t>
      </w:r>
    </w:p>
    <w:p w14:paraId="49C8FA3C" w14:textId="77777777" w:rsidR="009A580C" w:rsidRDefault="004D3DB7" w:rsidP="007912D5">
      <w:pPr>
        <w:numPr>
          <w:ilvl w:val="0"/>
          <w:numId w:val="37"/>
        </w:numPr>
        <w:spacing w:before="120" w:line="276" w:lineRule="auto"/>
        <w:rPr>
          <w:rFonts w:asciiTheme="majorHAnsi" w:hAnsiTheme="majorHAnsi"/>
          <w:color w:val="000000" w:themeColor="text1"/>
        </w:rPr>
      </w:pPr>
      <w:r w:rsidRPr="009A580C">
        <w:rPr>
          <w:rFonts w:asciiTheme="majorHAnsi" w:hAnsiTheme="majorHAnsi"/>
          <w:color w:val="000000" w:themeColor="text1"/>
        </w:rPr>
        <w:t xml:space="preserve">The form must be returned to the HE Quality Office, receipt of the appeal will be acknowledged within five working days. </w:t>
      </w:r>
    </w:p>
    <w:p w14:paraId="3E34B7A6" w14:textId="77777777" w:rsidR="004D3DB7" w:rsidRPr="009A580C" w:rsidRDefault="00616340" w:rsidP="007912D5">
      <w:pPr>
        <w:numPr>
          <w:ilvl w:val="0"/>
          <w:numId w:val="37"/>
        </w:numPr>
        <w:spacing w:before="120" w:line="276" w:lineRule="auto"/>
        <w:rPr>
          <w:rFonts w:asciiTheme="majorHAnsi" w:hAnsiTheme="majorHAnsi"/>
          <w:color w:val="000000" w:themeColor="text1"/>
        </w:rPr>
      </w:pPr>
      <w:r w:rsidRPr="009A580C">
        <w:rPr>
          <w:rFonts w:asciiTheme="majorHAnsi" w:hAnsiTheme="majorHAnsi"/>
          <w:color w:val="000000" w:themeColor="text1"/>
        </w:rPr>
        <w:t xml:space="preserve">Quality and Registry </w:t>
      </w:r>
      <w:r w:rsidR="004D3DB7" w:rsidRPr="009A580C">
        <w:rPr>
          <w:rFonts w:asciiTheme="majorHAnsi" w:hAnsiTheme="majorHAnsi"/>
          <w:color w:val="000000" w:themeColor="text1"/>
        </w:rPr>
        <w:t xml:space="preserve">may reject the appeal if the student does not cite legitimate grounds for appeal.  In that case, the </w:t>
      </w:r>
      <w:r w:rsidRPr="009A580C">
        <w:rPr>
          <w:rFonts w:asciiTheme="majorHAnsi" w:hAnsiTheme="majorHAnsi"/>
          <w:color w:val="000000" w:themeColor="text1"/>
        </w:rPr>
        <w:t xml:space="preserve">student will be advised </w:t>
      </w:r>
      <w:r w:rsidR="004D3DB7" w:rsidRPr="009A580C">
        <w:rPr>
          <w:rFonts w:asciiTheme="majorHAnsi" w:hAnsiTheme="majorHAnsi"/>
          <w:color w:val="000000" w:themeColor="text1"/>
        </w:rPr>
        <w:t xml:space="preserve">in writing within 10 days, a copy of the Completion of Procedures letter and the Appeal Form will be held by Quality </w:t>
      </w:r>
      <w:r w:rsidRPr="009A580C">
        <w:rPr>
          <w:rFonts w:asciiTheme="majorHAnsi" w:hAnsiTheme="majorHAnsi"/>
          <w:color w:val="000000" w:themeColor="text1"/>
        </w:rPr>
        <w:t xml:space="preserve">and Registry </w:t>
      </w:r>
      <w:r w:rsidR="004D3DB7" w:rsidRPr="009A580C">
        <w:rPr>
          <w:rFonts w:asciiTheme="majorHAnsi" w:hAnsiTheme="majorHAnsi"/>
          <w:color w:val="000000" w:themeColor="text1"/>
        </w:rPr>
        <w:t xml:space="preserve">and </w:t>
      </w:r>
      <w:r w:rsidRPr="009A580C">
        <w:rPr>
          <w:rFonts w:asciiTheme="majorHAnsi" w:hAnsiTheme="majorHAnsi"/>
          <w:color w:val="000000" w:themeColor="text1"/>
        </w:rPr>
        <w:t xml:space="preserve">on </w:t>
      </w:r>
      <w:r w:rsidR="004D3DB7" w:rsidRPr="009A580C">
        <w:rPr>
          <w:rFonts w:asciiTheme="majorHAnsi" w:hAnsiTheme="majorHAnsi"/>
          <w:color w:val="000000" w:themeColor="text1"/>
        </w:rPr>
        <w:t>the student’s central record.</w:t>
      </w:r>
    </w:p>
    <w:p w14:paraId="077642B6" w14:textId="77777777" w:rsidR="004D3DB7" w:rsidRPr="00EE301D" w:rsidRDefault="004D3DB7" w:rsidP="009A580C">
      <w:pPr>
        <w:numPr>
          <w:ilvl w:val="0"/>
          <w:numId w:val="37"/>
        </w:numPr>
        <w:spacing w:before="120" w:line="276" w:lineRule="auto"/>
        <w:rPr>
          <w:rFonts w:asciiTheme="majorHAnsi" w:hAnsiTheme="majorHAnsi"/>
          <w:color w:val="000000" w:themeColor="text1"/>
        </w:rPr>
      </w:pPr>
      <w:r w:rsidRPr="00EE301D">
        <w:rPr>
          <w:rFonts w:asciiTheme="majorHAnsi" w:hAnsiTheme="majorHAnsi"/>
          <w:color w:val="000000" w:themeColor="text1"/>
        </w:rPr>
        <w:t xml:space="preserve">If there appear to be legitimate grounds for appeal then </w:t>
      </w:r>
      <w:r w:rsidR="00616340">
        <w:rPr>
          <w:rFonts w:asciiTheme="majorHAnsi" w:hAnsiTheme="majorHAnsi"/>
          <w:color w:val="000000" w:themeColor="text1"/>
        </w:rPr>
        <w:t>Quality and Registry</w:t>
      </w:r>
      <w:r w:rsidRPr="00EE301D">
        <w:rPr>
          <w:rFonts w:asciiTheme="majorHAnsi" w:hAnsiTheme="majorHAnsi"/>
          <w:i/>
          <w:color w:val="000000" w:themeColor="text1"/>
        </w:rPr>
        <w:t xml:space="preserve"> </w:t>
      </w:r>
      <w:r w:rsidRPr="00EE301D">
        <w:rPr>
          <w:rFonts w:asciiTheme="majorHAnsi" w:hAnsiTheme="majorHAnsi"/>
          <w:color w:val="000000" w:themeColor="text1"/>
        </w:rPr>
        <w:t xml:space="preserve">will forward the Appeal Form, together with all relevant documentation, for consideration by the </w:t>
      </w:r>
      <w:r>
        <w:rPr>
          <w:rFonts w:asciiTheme="majorHAnsi" w:hAnsiTheme="majorHAnsi"/>
          <w:color w:val="000000" w:themeColor="text1"/>
        </w:rPr>
        <w:t xml:space="preserve">Academic Appeals Panel consisting of the Head of Quality </w:t>
      </w:r>
      <w:r w:rsidR="00616340">
        <w:rPr>
          <w:rFonts w:asciiTheme="majorHAnsi" w:hAnsiTheme="majorHAnsi"/>
          <w:color w:val="000000" w:themeColor="text1"/>
        </w:rPr>
        <w:t>and Registry</w:t>
      </w:r>
      <w:r>
        <w:rPr>
          <w:rFonts w:asciiTheme="majorHAnsi" w:hAnsiTheme="majorHAnsi"/>
          <w:color w:val="000000" w:themeColor="text1"/>
        </w:rPr>
        <w:t xml:space="preserve"> and an Academic Head of Department not directly responsible for the subject area in which the appealing student’s course resides</w:t>
      </w:r>
      <w:r w:rsidRPr="00EE301D">
        <w:rPr>
          <w:rFonts w:asciiTheme="majorHAnsi" w:hAnsiTheme="majorHAnsi"/>
          <w:color w:val="000000" w:themeColor="text1"/>
        </w:rPr>
        <w:t xml:space="preserve">. The </w:t>
      </w:r>
      <w:r>
        <w:rPr>
          <w:rFonts w:asciiTheme="majorHAnsi" w:hAnsiTheme="majorHAnsi"/>
          <w:color w:val="000000" w:themeColor="text1"/>
        </w:rPr>
        <w:t xml:space="preserve">Academic Appeals Panel </w:t>
      </w:r>
      <w:r w:rsidRPr="00EE301D">
        <w:rPr>
          <w:rFonts w:asciiTheme="majorHAnsi" w:hAnsiTheme="majorHAnsi"/>
          <w:color w:val="000000" w:themeColor="text1"/>
        </w:rPr>
        <w:t>will consider any appeal that meets the criteria stated above (c and d).</w:t>
      </w:r>
      <w:r>
        <w:rPr>
          <w:rFonts w:asciiTheme="majorHAnsi" w:hAnsiTheme="majorHAnsi"/>
          <w:color w:val="000000" w:themeColor="text1"/>
        </w:rPr>
        <w:t xml:space="preserve"> The student will be informed by </w:t>
      </w:r>
      <w:r w:rsidR="009A580C">
        <w:rPr>
          <w:rFonts w:asciiTheme="majorHAnsi" w:hAnsiTheme="majorHAnsi"/>
          <w:color w:val="000000" w:themeColor="text1"/>
        </w:rPr>
        <w:t>Quality and Registry</w:t>
      </w:r>
      <w:r>
        <w:rPr>
          <w:rFonts w:asciiTheme="majorHAnsi" w:hAnsiTheme="majorHAnsi"/>
          <w:color w:val="000000" w:themeColor="text1"/>
        </w:rPr>
        <w:t xml:space="preserve"> within 10 days from receipt that the investigation is under way.</w:t>
      </w:r>
    </w:p>
    <w:p w14:paraId="5EE9E6B4" w14:textId="77777777" w:rsidR="004D3DB7" w:rsidRPr="00EE301D" w:rsidRDefault="004D3DB7" w:rsidP="009A580C">
      <w:pPr>
        <w:numPr>
          <w:ilvl w:val="0"/>
          <w:numId w:val="37"/>
        </w:numPr>
        <w:spacing w:before="120" w:line="276" w:lineRule="auto"/>
        <w:rPr>
          <w:rFonts w:asciiTheme="majorHAnsi" w:hAnsiTheme="majorHAnsi"/>
          <w:color w:val="000000" w:themeColor="text1"/>
        </w:rPr>
      </w:pPr>
      <w:bookmarkStart w:id="1" w:name="13g"/>
      <w:bookmarkEnd w:id="1"/>
      <w:r w:rsidRPr="00EE301D">
        <w:rPr>
          <w:rFonts w:asciiTheme="majorHAnsi" w:hAnsiTheme="majorHAnsi"/>
          <w:color w:val="000000" w:themeColor="text1"/>
        </w:rPr>
        <w:t xml:space="preserve">Any such appeal will be considered by the </w:t>
      </w:r>
      <w:r>
        <w:rPr>
          <w:rFonts w:asciiTheme="majorHAnsi" w:hAnsiTheme="majorHAnsi"/>
          <w:color w:val="000000" w:themeColor="text1"/>
        </w:rPr>
        <w:t>Academic Appeals Panel</w:t>
      </w:r>
      <w:r w:rsidRPr="00EE301D">
        <w:rPr>
          <w:rFonts w:asciiTheme="majorHAnsi" w:hAnsiTheme="majorHAnsi"/>
          <w:color w:val="000000" w:themeColor="text1"/>
        </w:rPr>
        <w:t xml:space="preserve">, </w:t>
      </w:r>
      <w:r w:rsidR="009A580C">
        <w:rPr>
          <w:rFonts w:asciiTheme="majorHAnsi" w:hAnsiTheme="majorHAnsi"/>
          <w:color w:val="000000" w:themeColor="text1"/>
        </w:rPr>
        <w:t>which</w:t>
      </w:r>
      <w:r w:rsidRPr="00EE301D">
        <w:rPr>
          <w:rFonts w:asciiTheme="majorHAnsi" w:hAnsiTheme="majorHAnsi"/>
          <w:color w:val="000000" w:themeColor="text1"/>
        </w:rPr>
        <w:t xml:space="preserve"> may consult such persons as </w:t>
      </w:r>
      <w:r w:rsidR="009A580C">
        <w:rPr>
          <w:rFonts w:asciiTheme="majorHAnsi" w:hAnsiTheme="majorHAnsi"/>
          <w:color w:val="000000" w:themeColor="text1"/>
        </w:rPr>
        <w:t>deemed</w:t>
      </w:r>
      <w:r w:rsidRPr="00EE301D">
        <w:rPr>
          <w:rFonts w:asciiTheme="majorHAnsi" w:hAnsiTheme="majorHAnsi"/>
          <w:color w:val="000000" w:themeColor="text1"/>
        </w:rPr>
        <w:t xml:space="preserve"> fit, including the student who has lodged the appeal, in arriving at a decision as to whether or not the appeal is well-founded. </w:t>
      </w:r>
      <w:r w:rsidRPr="00EE301D">
        <w:rPr>
          <w:rFonts w:asciiTheme="majorHAnsi" w:hAnsiTheme="majorHAnsi"/>
          <w:color w:val="000000" w:themeColor="text1"/>
        </w:rPr>
        <w:br/>
        <w:t xml:space="preserve">  </w:t>
      </w:r>
    </w:p>
    <w:p w14:paraId="4E447622" w14:textId="77777777" w:rsidR="004D3DB7" w:rsidRPr="00EE301D" w:rsidRDefault="004D3DB7" w:rsidP="009A580C">
      <w:pPr>
        <w:numPr>
          <w:ilvl w:val="0"/>
          <w:numId w:val="37"/>
        </w:numPr>
        <w:spacing w:before="120" w:line="276" w:lineRule="auto"/>
        <w:rPr>
          <w:rFonts w:asciiTheme="majorHAnsi" w:hAnsiTheme="majorHAnsi"/>
          <w:color w:val="000000" w:themeColor="text1"/>
        </w:rPr>
      </w:pPr>
      <w:r w:rsidRPr="00EE301D">
        <w:rPr>
          <w:rFonts w:asciiTheme="majorHAnsi" w:hAnsiTheme="majorHAnsi"/>
          <w:color w:val="000000" w:themeColor="text1"/>
        </w:rPr>
        <w:t xml:space="preserve">The </w:t>
      </w:r>
      <w:r>
        <w:rPr>
          <w:rFonts w:asciiTheme="majorHAnsi" w:hAnsiTheme="majorHAnsi"/>
          <w:color w:val="000000" w:themeColor="text1"/>
        </w:rPr>
        <w:t xml:space="preserve">Academic Appeals Panel </w:t>
      </w:r>
      <w:r w:rsidRPr="00EE301D">
        <w:rPr>
          <w:rFonts w:asciiTheme="majorHAnsi" w:hAnsiTheme="majorHAnsi"/>
          <w:color w:val="000000" w:themeColor="text1"/>
        </w:rPr>
        <w:t xml:space="preserve">will conduct the investigation as quickly as possible but, particularly during the summer vacation, there may be unavoidable delays. </w:t>
      </w:r>
      <w:r w:rsidR="009A580C">
        <w:rPr>
          <w:rFonts w:asciiTheme="majorHAnsi" w:hAnsiTheme="majorHAnsi"/>
          <w:color w:val="000000" w:themeColor="text1"/>
        </w:rPr>
        <w:t xml:space="preserve">The student will be advised of progress in writing </w:t>
      </w:r>
      <w:r w:rsidRPr="00EE301D">
        <w:rPr>
          <w:rFonts w:asciiTheme="majorHAnsi" w:hAnsiTheme="majorHAnsi"/>
          <w:color w:val="000000" w:themeColor="text1"/>
        </w:rPr>
        <w:t xml:space="preserve">within six weeks of receipt </w:t>
      </w:r>
      <w:r w:rsidR="009A580C">
        <w:rPr>
          <w:rFonts w:asciiTheme="majorHAnsi" w:hAnsiTheme="majorHAnsi"/>
          <w:color w:val="000000" w:themeColor="text1"/>
        </w:rPr>
        <w:t>of an appeal application; including an estimated date for an outcome decision</w:t>
      </w:r>
      <w:r w:rsidRPr="00EE301D">
        <w:rPr>
          <w:rFonts w:asciiTheme="majorHAnsi" w:hAnsiTheme="majorHAnsi"/>
          <w:color w:val="000000" w:themeColor="text1"/>
        </w:rPr>
        <w:t xml:space="preserve">. </w:t>
      </w:r>
      <w:r>
        <w:rPr>
          <w:rFonts w:asciiTheme="majorHAnsi" w:hAnsiTheme="majorHAnsi"/>
          <w:color w:val="000000" w:themeColor="text1"/>
        </w:rPr>
        <w:t xml:space="preserve">  </w:t>
      </w:r>
    </w:p>
    <w:p w14:paraId="3374E206" w14:textId="77777777" w:rsidR="004D3DB7" w:rsidRPr="00EE301D" w:rsidRDefault="004D3DB7" w:rsidP="009A580C">
      <w:pPr>
        <w:spacing w:before="120" w:line="276" w:lineRule="auto"/>
      </w:pPr>
      <w:r w:rsidRPr="00EE301D">
        <w:rPr>
          <w:rFonts w:asciiTheme="majorHAnsi" w:hAnsiTheme="majorHAnsi"/>
          <w:color w:val="000000" w:themeColor="text1"/>
        </w:rPr>
        <w:t xml:space="preserve"> </w:t>
      </w:r>
      <w:r w:rsidRPr="00EE301D">
        <w:t xml:space="preserve">The </w:t>
      </w:r>
      <w:r>
        <w:t>Appeal is Dismissed</w:t>
      </w:r>
    </w:p>
    <w:p w14:paraId="260FDAB2" w14:textId="77777777" w:rsidR="009A580C" w:rsidRDefault="004D3DB7" w:rsidP="00AB6BA7">
      <w:pPr>
        <w:numPr>
          <w:ilvl w:val="0"/>
          <w:numId w:val="37"/>
        </w:numPr>
        <w:spacing w:before="120" w:line="276" w:lineRule="auto"/>
        <w:rPr>
          <w:rFonts w:asciiTheme="majorHAnsi" w:hAnsiTheme="majorHAnsi"/>
          <w:color w:val="000000" w:themeColor="text1"/>
        </w:rPr>
      </w:pPr>
      <w:r w:rsidRPr="009A580C">
        <w:rPr>
          <w:rFonts w:asciiTheme="majorHAnsi" w:hAnsiTheme="majorHAnsi"/>
          <w:color w:val="000000" w:themeColor="text1"/>
        </w:rPr>
        <w:t xml:space="preserve">If the Academic Appeals Panel decides that there are no sufficient grounds for putting the case to the Board of Examiners, the student will be informed in writing, and the reasons for the decision will be stated. The communication of this decision shall, in such cases, constitute the formal dismissal of the appeal. </w:t>
      </w:r>
    </w:p>
    <w:p w14:paraId="4945A253" w14:textId="77777777" w:rsidR="004D3DB7" w:rsidRPr="009A580C" w:rsidRDefault="004D3DB7" w:rsidP="00AB6BA7">
      <w:pPr>
        <w:numPr>
          <w:ilvl w:val="0"/>
          <w:numId w:val="37"/>
        </w:numPr>
        <w:spacing w:before="120" w:line="276" w:lineRule="auto"/>
        <w:rPr>
          <w:rFonts w:asciiTheme="majorHAnsi" w:hAnsiTheme="majorHAnsi"/>
          <w:color w:val="000000" w:themeColor="text1"/>
        </w:rPr>
      </w:pPr>
      <w:r w:rsidRPr="009A580C">
        <w:rPr>
          <w:rFonts w:asciiTheme="majorHAnsi" w:hAnsiTheme="majorHAnsi"/>
          <w:color w:val="000000" w:themeColor="text1"/>
        </w:rPr>
        <w:t>If a student is dissatisfied with the outcome of the appeal, they may request a review on the following grounds only:</w:t>
      </w:r>
    </w:p>
    <w:p w14:paraId="0F7124D2" w14:textId="77777777" w:rsidR="004D3DB7" w:rsidRPr="00EE301D" w:rsidRDefault="004D3DB7" w:rsidP="009A580C">
      <w:pPr>
        <w:numPr>
          <w:ilvl w:val="0"/>
          <w:numId w:val="40"/>
        </w:numPr>
        <w:spacing w:before="120" w:line="276" w:lineRule="auto"/>
        <w:rPr>
          <w:rFonts w:asciiTheme="majorHAnsi" w:hAnsiTheme="majorHAnsi"/>
          <w:color w:val="000000" w:themeColor="text1"/>
        </w:rPr>
      </w:pPr>
      <w:r w:rsidRPr="00EE301D">
        <w:rPr>
          <w:rFonts w:asciiTheme="majorHAnsi" w:hAnsiTheme="majorHAnsi"/>
          <w:color w:val="000000" w:themeColor="text1"/>
        </w:rPr>
        <w:t>procedural irregularity in the appeals process</w:t>
      </w:r>
    </w:p>
    <w:p w14:paraId="029E3787" w14:textId="77777777" w:rsidR="004D3DB7" w:rsidRPr="00EE301D" w:rsidRDefault="004D3DB7" w:rsidP="009A580C">
      <w:pPr>
        <w:numPr>
          <w:ilvl w:val="0"/>
          <w:numId w:val="40"/>
        </w:numPr>
        <w:spacing w:before="120" w:line="276" w:lineRule="auto"/>
        <w:rPr>
          <w:rFonts w:asciiTheme="majorHAnsi" w:hAnsiTheme="majorHAnsi"/>
          <w:color w:val="000000" w:themeColor="text1"/>
        </w:rPr>
      </w:pPr>
      <w:r w:rsidRPr="00EE301D">
        <w:rPr>
          <w:rFonts w:asciiTheme="majorHAnsi" w:hAnsiTheme="majorHAnsi"/>
          <w:color w:val="000000" w:themeColor="text1"/>
        </w:rPr>
        <w:lastRenderedPageBreak/>
        <w:t>consideration of whether the outcome was reasonable given all the circumstances</w:t>
      </w:r>
    </w:p>
    <w:p w14:paraId="0AC4E21B" w14:textId="77777777" w:rsidR="004D3DB7" w:rsidRPr="00EE301D" w:rsidRDefault="004D3DB7" w:rsidP="009A580C">
      <w:pPr>
        <w:numPr>
          <w:ilvl w:val="0"/>
          <w:numId w:val="40"/>
        </w:numPr>
        <w:spacing w:before="120" w:line="276" w:lineRule="auto"/>
        <w:rPr>
          <w:rFonts w:asciiTheme="majorHAnsi" w:hAnsiTheme="majorHAnsi"/>
          <w:color w:val="000000" w:themeColor="text1"/>
        </w:rPr>
      </w:pPr>
      <w:r w:rsidRPr="00EE301D">
        <w:rPr>
          <w:rFonts w:asciiTheme="majorHAnsi" w:hAnsiTheme="majorHAnsi"/>
          <w:color w:val="000000" w:themeColor="text1"/>
        </w:rPr>
        <w:t>that new material evidence is now available which the student was unable, for valid reasons, to provide earlier in the process.</w:t>
      </w:r>
    </w:p>
    <w:p w14:paraId="3E22D1CB" w14:textId="77777777" w:rsidR="004D3DB7" w:rsidRPr="00EE301D" w:rsidRDefault="004D3DB7" w:rsidP="009A580C">
      <w:pPr>
        <w:numPr>
          <w:ilvl w:val="0"/>
          <w:numId w:val="37"/>
        </w:numPr>
        <w:spacing w:before="120" w:line="276" w:lineRule="auto"/>
        <w:rPr>
          <w:rFonts w:asciiTheme="majorHAnsi" w:hAnsiTheme="majorHAnsi"/>
          <w:color w:val="000000" w:themeColor="text1"/>
        </w:rPr>
      </w:pPr>
      <w:r w:rsidRPr="00EE301D">
        <w:rPr>
          <w:rFonts w:asciiTheme="majorHAnsi" w:hAnsiTheme="majorHAnsi"/>
          <w:color w:val="000000" w:themeColor="text1"/>
        </w:rPr>
        <w:t>The review stage will not normally consider the issues afresh or involve further investigation.</w:t>
      </w:r>
    </w:p>
    <w:p w14:paraId="58D73B1E" w14:textId="77777777" w:rsidR="004D3DB7" w:rsidRPr="00EE301D" w:rsidRDefault="004D3DB7" w:rsidP="009A580C">
      <w:pPr>
        <w:numPr>
          <w:ilvl w:val="0"/>
          <w:numId w:val="37"/>
        </w:numPr>
        <w:spacing w:before="120" w:line="276" w:lineRule="auto"/>
        <w:rPr>
          <w:rFonts w:asciiTheme="majorHAnsi" w:hAnsiTheme="majorHAnsi"/>
          <w:color w:val="000000" w:themeColor="text1"/>
        </w:rPr>
      </w:pPr>
      <w:r w:rsidRPr="00EE301D">
        <w:rPr>
          <w:rFonts w:asciiTheme="majorHAnsi" w:hAnsiTheme="majorHAnsi"/>
          <w:color w:val="000000" w:themeColor="text1"/>
        </w:rPr>
        <w:t xml:space="preserve">In order to request a review of an appeal, students must complete a Request for Review Form (available from </w:t>
      </w:r>
      <w:r w:rsidR="009A580C">
        <w:rPr>
          <w:rFonts w:asciiTheme="majorHAnsi" w:hAnsiTheme="majorHAnsi"/>
          <w:color w:val="000000" w:themeColor="text1"/>
        </w:rPr>
        <w:t>Quality and Registry</w:t>
      </w:r>
      <w:r>
        <w:rPr>
          <w:rFonts w:asciiTheme="majorHAnsi" w:hAnsiTheme="majorHAnsi"/>
          <w:color w:val="000000" w:themeColor="text1"/>
        </w:rPr>
        <w:t xml:space="preserve">, </w:t>
      </w:r>
      <w:hyperlink r:id="rId16" w:history="1">
        <w:r w:rsidR="009A580C" w:rsidRPr="005F3352">
          <w:rPr>
            <w:rStyle w:val="Hyperlink"/>
            <w:rFonts w:asciiTheme="majorHAnsi" w:hAnsiTheme="majorHAnsi"/>
          </w:rPr>
          <w:t>quality.registry@writtle.ac.uk</w:t>
        </w:r>
      </w:hyperlink>
      <w:r w:rsidRPr="00EE301D">
        <w:rPr>
          <w:rFonts w:asciiTheme="majorHAnsi" w:hAnsiTheme="majorHAnsi"/>
          <w:color w:val="000000" w:themeColor="text1"/>
        </w:rPr>
        <w:t>)</w:t>
      </w:r>
      <w:r w:rsidR="009A580C">
        <w:rPr>
          <w:rFonts w:asciiTheme="majorHAnsi" w:hAnsiTheme="majorHAnsi"/>
          <w:color w:val="000000" w:themeColor="text1"/>
        </w:rPr>
        <w:t>; which should be returned to Quality and Registry</w:t>
      </w:r>
      <w:r w:rsidRPr="00EE301D">
        <w:rPr>
          <w:rFonts w:asciiTheme="majorHAnsi" w:hAnsiTheme="majorHAnsi"/>
          <w:color w:val="000000" w:themeColor="text1"/>
        </w:rPr>
        <w:t xml:space="preserve"> within four weeks</w:t>
      </w:r>
      <w:r>
        <w:rPr>
          <w:rFonts w:asciiTheme="majorHAnsi" w:hAnsiTheme="majorHAnsi"/>
          <w:color w:val="000000" w:themeColor="text1"/>
        </w:rPr>
        <w:t xml:space="preserve"> from receiving the decision letter</w:t>
      </w:r>
      <w:r w:rsidRPr="00EE301D">
        <w:rPr>
          <w:rFonts w:asciiTheme="majorHAnsi" w:hAnsiTheme="majorHAnsi"/>
          <w:color w:val="000000" w:themeColor="text1"/>
        </w:rPr>
        <w:t>.</w:t>
      </w:r>
    </w:p>
    <w:p w14:paraId="5403CB68" w14:textId="77777777" w:rsidR="004D3DB7" w:rsidRPr="009A580C" w:rsidRDefault="009A580C" w:rsidP="009A580C">
      <w:pPr>
        <w:spacing w:before="120" w:line="276" w:lineRule="auto"/>
        <w:rPr>
          <w:rFonts w:asciiTheme="majorHAnsi" w:hAnsiTheme="majorHAnsi"/>
          <w:color w:val="000000" w:themeColor="text1"/>
        </w:rPr>
      </w:pPr>
      <w:r>
        <w:rPr>
          <w:rFonts w:asciiTheme="majorHAnsi" w:hAnsiTheme="majorHAnsi"/>
          <w:color w:val="000000" w:themeColor="text1"/>
        </w:rPr>
        <w:t xml:space="preserve">Quality and Registry </w:t>
      </w:r>
      <w:r w:rsidR="004D3DB7" w:rsidRPr="00EE301D">
        <w:rPr>
          <w:rFonts w:asciiTheme="majorHAnsi" w:hAnsiTheme="majorHAnsi"/>
          <w:color w:val="000000" w:themeColor="text1"/>
        </w:rPr>
        <w:t xml:space="preserve">will then </w:t>
      </w:r>
      <w:r w:rsidR="004D3DB7">
        <w:rPr>
          <w:rFonts w:asciiTheme="majorHAnsi" w:hAnsiTheme="majorHAnsi"/>
          <w:color w:val="000000" w:themeColor="text1"/>
        </w:rPr>
        <w:t xml:space="preserve">forward the review request to the University College Registrar and Secretary, </w:t>
      </w:r>
      <w:r w:rsidR="004D3DB7" w:rsidRPr="00EE301D">
        <w:rPr>
          <w:rFonts w:asciiTheme="majorHAnsi" w:hAnsiTheme="majorHAnsi"/>
          <w:color w:val="000000" w:themeColor="text1"/>
        </w:rPr>
        <w:t xml:space="preserve">or </w:t>
      </w:r>
      <w:r w:rsidR="004D3DB7">
        <w:rPr>
          <w:rFonts w:asciiTheme="majorHAnsi" w:hAnsiTheme="majorHAnsi"/>
          <w:color w:val="000000" w:themeColor="text1"/>
        </w:rPr>
        <w:t>their</w:t>
      </w:r>
      <w:r w:rsidR="004D3DB7" w:rsidRPr="00EE301D">
        <w:rPr>
          <w:rFonts w:asciiTheme="majorHAnsi" w:hAnsiTheme="majorHAnsi"/>
          <w:color w:val="000000" w:themeColor="text1"/>
        </w:rPr>
        <w:t xml:space="preserve"> nominee</w:t>
      </w:r>
      <w:r w:rsidR="004D3DB7">
        <w:rPr>
          <w:rFonts w:asciiTheme="majorHAnsi" w:hAnsiTheme="majorHAnsi"/>
          <w:color w:val="000000" w:themeColor="text1"/>
        </w:rPr>
        <w:t>,</w:t>
      </w:r>
      <w:r w:rsidR="004D3DB7" w:rsidRPr="00EE301D">
        <w:rPr>
          <w:rFonts w:asciiTheme="majorHAnsi" w:hAnsiTheme="majorHAnsi"/>
          <w:color w:val="000000" w:themeColor="text1"/>
        </w:rPr>
        <w:t xml:space="preserve"> for consideration. The </w:t>
      </w:r>
      <w:r w:rsidR="004D3DB7">
        <w:rPr>
          <w:rFonts w:asciiTheme="majorHAnsi" w:hAnsiTheme="majorHAnsi"/>
          <w:color w:val="000000" w:themeColor="text1"/>
        </w:rPr>
        <w:t>Registrar</w:t>
      </w:r>
      <w:r w:rsidR="004D3DB7" w:rsidRPr="00EE301D">
        <w:rPr>
          <w:rFonts w:asciiTheme="majorHAnsi" w:hAnsiTheme="majorHAnsi"/>
          <w:color w:val="000000" w:themeColor="text1"/>
        </w:rPr>
        <w:t xml:space="preserve"> </w:t>
      </w:r>
      <w:r w:rsidR="004D3DB7">
        <w:rPr>
          <w:rFonts w:asciiTheme="majorHAnsi" w:hAnsiTheme="majorHAnsi"/>
          <w:color w:val="000000" w:themeColor="text1"/>
        </w:rPr>
        <w:t xml:space="preserve">and Secretary </w:t>
      </w:r>
      <w:r w:rsidR="004D3DB7" w:rsidRPr="00EE301D">
        <w:rPr>
          <w:rFonts w:asciiTheme="majorHAnsi" w:hAnsiTheme="majorHAnsi"/>
          <w:color w:val="000000" w:themeColor="text1"/>
        </w:rPr>
        <w:t xml:space="preserve">(or </w:t>
      </w:r>
      <w:r w:rsidR="004D3DB7">
        <w:rPr>
          <w:rFonts w:asciiTheme="majorHAnsi" w:hAnsiTheme="majorHAnsi"/>
          <w:color w:val="000000" w:themeColor="text1"/>
        </w:rPr>
        <w:t>their</w:t>
      </w:r>
      <w:r w:rsidR="004D3DB7" w:rsidRPr="00EE301D">
        <w:rPr>
          <w:rFonts w:asciiTheme="majorHAnsi" w:hAnsiTheme="majorHAnsi"/>
          <w:color w:val="000000" w:themeColor="text1"/>
        </w:rPr>
        <w:t xml:space="preserve"> authorised nominee) will </w:t>
      </w:r>
      <w:r w:rsidR="004D3DB7">
        <w:rPr>
          <w:rFonts w:asciiTheme="majorHAnsi" w:hAnsiTheme="majorHAnsi"/>
          <w:color w:val="000000" w:themeColor="text1"/>
        </w:rPr>
        <w:t xml:space="preserve">consider the grounds stated in the </w:t>
      </w:r>
      <w:r w:rsidR="004D3DB7" w:rsidRPr="00EE301D">
        <w:rPr>
          <w:rFonts w:asciiTheme="majorHAnsi" w:hAnsiTheme="majorHAnsi"/>
          <w:color w:val="000000" w:themeColor="text1"/>
        </w:rPr>
        <w:t xml:space="preserve">review </w:t>
      </w:r>
      <w:r w:rsidR="004D3DB7">
        <w:rPr>
          <w:rFonts w:asciiTheme="majorHAnsi" w:hAnsiTheme="majorHAnsi"/>
          <w:color w:val="000000" w:themeColor="text1"/>
        </w:rPr>
        <w:t xml:space="preserve">request; </w:t>
      </w:r>
      <w:r w:rsidR="004D3DB7" w:rsidRPr="00EE301D">
        <w:rPr>
          <w:rFonts w:asciiTheme="majorHAnsi" w:hAnsiTheme="majorHAnsi"/>
          <w:color w:val="000000" w:themeColor="text1"/>
        </w:rPr>
        <w:t xml:space="preserve">but will not </w:t>
      </w:r>
      <w:r w:rsidR="004D3DB7">
        <w:rPr>
          <w:rFonts w:asciiTheme="majorHAnsi" w:hAnsiTheme="majorHAnsi"/>
          <w:color w:val="000000" w:themeColor="text1"/>
        </w:rPr>
        <w:t>normally</w:t>
      </w:r>
      <w:r w:rsidR="004D3DB7" w:rsidRPr="00EE301D">
        <w:rPr>
          <w:rFonts w:asciiTheme="majorHAnsi" w:hAnsiTheme="majorHAnsi"/>
          <w:color w:val="000000" w:themeColor="text1"/>
        </w:rPr>
        <w:t xml:space="preserve"> consider the issues afresh or undertake a further investigation. The </w:t>
      </w:r>
      <w:r w:rsidR="004D3DB7">
        <w:rPr>
          <w:rFonts w:asciiTheme="majorHAnsi" w:hAnsiTheme="majorHAnsi"/>
          <w:color w:val="000000" w:themeColor="text1"/>
        </w:rPr>
        <w:t>Registrar</w:t>
      </w:r>
      <w:r w:rsidR="004D3DB7" w:rsidRPr="00EE301D">
        <w:rPr>
          <w:rFonts w:asciiTheme="majorHAnsi" w:hAnsiTheme="majorHAnsi"/>
          <w:color w:val="000000" w:themeColor="text1"/>
        </w:rPr>
        <w:t xml:space="preserve"> </w:t>
      </w:r>
      <w:r w:rsidR="004D3DB7">
        <w:rPr>
          <w:rFonts w:asciiTheme="majorHAnsi" w:hAnsiTheme="majorHAnsi"/>
          <w:color w:val="000000" w:themeColor="text1"/>
        </w:rPr>
        <w:t>and Secretary (</w:t>
      </w:r>
      <w:r w:rsidR="004D3DB7" w:rsidRPr="00EE301D">
        <w:rPr>
          <w:rFonts w:asciiTheme="majorHAnsi" w:hAnsiTheme="majorHAnsi"/>
          <w:color w:val="000000" w:themeColor="text1"/>
        </w:rPr>
        <w:t>or authorised nominee</w:t>
      </w:r>
      <w:r w:rsidR="004D3DB7">
        <w:rPr>
          <w:rFonts w:asciiTheme="majorHAnsi" w:hAnsiTheme="majorHAnsi"/>
          <w:color w:val="000000" w:themeColor="text1"/>
        </w:rPr>
        <w:t>)</w:t>
      </w:r>
      <w:r w:rsidR="004D3DB7" w:rsidRPr="00EE301D">
        <w:rPr>
          <w:rFonts w:asciiTheme="majorHAnsi" w:hAnsiTheme="majorHAnsi"/>
          <w:color w:val="000000" w:themeColor="text1"/>
        </w:rPr>
        <w:t xml:space="preserve"> will then respond in writing within fifteen working days where possible</w:t>
      </w:r>
      <w:r w:rsidR="004D3DB7">
        <w:rPr>
          <w:rFonts w:asciiTheme="majorHAnsi" w:hAnsiTheme="majorHAnsi"/>
          <w:color w:val="000000" w:themeColor="text1"/>
        </w:rPr>
        <w:t>,</w:t>
      </w:r>
      <w:r w:rsidR="004D3DB7" w:rsidRPr="00EE301D">
        <w:rPr>
          <w:rFonts w:asciiTheme="majorHAnsi" w:hAnsiTheme="majorHAnsi"/>
          <w:color w:val="000000" w:themeColor="text1"/>
        </w:rPr>
        <w:t xml:space="preserve"> with a copy to </w:t>
      </w:r>
      <w:r>
        <w:rPr>
          <w:rFonts w:asciiTheme="majorHAnsi" w:hAnsiTheme="majorHAnsi"/>
          <w:color w:val="000000" w:themeColor="text1"/>
        </w:rPr>
        <w:t>Quality and Registry</w:t>
      </w:r>
      <w:r w:rsidR="004D3DB7">
        <w:rPr>
          <w:rFonts w:asciiTheme="majorHAnsi" w:hAnsiTheme="majorHAnsi"/>
          <w:color w:val="000000" w:themeColor="text1"/>
        </w:rPr>
        <w:t xml:space="preserve">. A record of the appeal review will be maintained by </w:t>
      </w:r>
      <w:r>
        <w:rPr>
          <w:rFonts w:asciiTheme="majorHAnsi" w:hAnsiTheme="majorHAnsi"/>
          <w:color w:val="000000" w:themeColor="text1"/>
        </w:rPr>
        <w:t>Quality and Registry</w:t>
      </w:r>
      <w:r w:rsidR="004D3DB7">
        <w:rPr>
          <w:rFonts w:asciiTheme="majorHAnsi" w:hAnsiTheme="majorHAnsi"/>
          <w:color w:val="000000" w:themeColor="text1"/>
        </w:rPr>
        <w:t xml:space="preserve"> and the student</w:t>
      </w:r>
      <w:r w:rsidR="004D3DB7" w:rsidRPr="00EE301D">
        <w:rPr>
          <w:rFonts w:asciiTheme="majorHAnsi" w:hAnsiTheme="majorHAnsi"/>
          <w:color w:val="000000" w:themeColor="text1"/>
        </w:rPr>
        <w:t xml:space="preserve"> will be issued with a Completion of Procedures letter at this stage. </w:t>
      </w:r>
      <w:r w:rsidR="004D3DB7">
        <w:br w:type="page"/>
      </w:r>
      <w:r w:rsidR="004D3DB7" w:rsidRPr="00EE301D">
        <w:lastRenderedPageBreak/>
        <w:t xml:space="preserve">The </w:t>
      </w:r>
      <w:r w:rsidR="004D3DB7">
        <w:t>Academic Appeals Panel</w:t>
      </w:r>
      <w:r w:rsidR="004D3DB7" w:rsidRPr="00EE301D">
        <w:t xml:space="preserve"> upholds the appeal</w:t>
      </w:r>
    </w:p>
    <w:p w14:paraId="309F48FF" w14:textId="77777777" w:rsidR="004D3DB7" w:rsidRPr="00EE301D" w:rsidRDefault="004D3DB7" w:rsidP="009A580C">
      <w:pPr>
        <w:numPr>
          <w:ilvl w:val="0"/>
          <w:numId w:val="37"/>
        </w:numPr>
        <w:spacing w:before="120" w:line="276" w:lineRule="auto"/>
        <w:rPr>
          <w:rFonts w:asciiTheme="majorHAnsi" w:hAnsiTheme="majorHAnsi"/>
          <w:color w:val="000000" w:themeColor="text1"/>
        </w:rPr>
      </w:pPr>
      <w:bookmarkStart w:id="2" w:name="j"/>
      <w:bookmarkEnd w:id="2"/>
      <w:r w:rsidRPr="00EE301D">
        <w:rPr>
          <w:rFonts w:asciiTheme="majorHAnsi" w:hAnsiTheme="majorHAnsi"/>
          <w:color w:val="000000" w:themeColor="text1"/>
        </w:rPr>
        <w:t xml:space="preserve">If the </w:t>
      </w:r>
      <w:r>
        <w:rPr>
          <w:rFonts w:asciiTheme="majorHAnsi" w:hAnsiTheme="majorHAnsi"/>
          <w:color w:val="000000" w:themeColor="text1"/>
        </w:rPr>
        <w:t xml:space="preserve">Academic Appeals Panel </w:t>
      </w:r>
      <w:r w:rsidRPr="00EE301D">
        <w:rPr>
          <w:rFonts w:asciiTheme="majorHAnsi" w:hAnsiTheme="majorHAnsi"/>
          <w:color w:val="000000" w:themeColor="text1"/>
        </w:rPr>
        <w:t xml:space="preserve">decides there are sufficient grounds for putting the case to the Board of Examiners, </w:t>
      </w:r>
      <w:r>
        <w:rPr>
          <w:rFonts w:asciiTheme="majorHAnsi" w:hAnsiTheme="majorHAnsi"/>
          <w:color w:val="000000" w:themeColor="text1"/>
        </w:rPr>
        <w:t>they</w:t>
      </w:r>
      <w:r w:rsidRPr="00EE301D">
        <w:rPr>
          <w:rFonts w:asciiTheme="majorHAnsi" w:hAnsiTheme="majorHAnsi"/>
          <w:color w:val="000000" w:themeColor="text1"/>
        </w:rPr>
        <w:t xml:space="preserve"> will forward it, together with </w:t>
      </w:r>
      <w:r>
        <w:rPr>
          <w:rFonts w:asciiTheme="majorHAnsi" w:hAnsiTheme="majorHAnsi"/>
          <w:color w:val="000000" w:themeColor="text1"/>
        </w:rPr>
        <w:t>their</w:t>
      </w:r>
      <w:r w:rsidRPr="00EE301D">
        <w:rPr>
          <w:rFonts w:asciiTheme="majorHAnsi" w:hAnsiTheme="majorHAnsi"/>
          <w:color w:val="000000" w:themeColor="text1"/>
        </w:rPr>
        <w:t xml:space="preserve"> written comments, to the relevant </w:t>
      </w:r>
      <w:r>
        <w:rPr>
          <w:rFonts w:asciiTheme="majorHAnsi" w:hAnsiTheme="majorHAnsi"/>
          <w:color w:val="000000" w:themeColor="text1"/>
        </w:rPr>
        <w:t>Head of School/Department</w:t>
      </w:r>
      <w:r w:rsidRPr="00EE301D">
        <w:rPr>
          <w:rFonts w:asciiTheme="majorHAnsi" w:hAnsiTheme="majorHAnsi"/>
          <w:color w:val="000000" w:themeColor="text1"/>
        </w:rPr>
        <w:t xml:space="preserve">. The Quality </w:t>
      </w:r>
      <w:r>
        <w:rPr>
          <w:rFonts w:asciiTheme="majorHAnsi" w:hAnsiTheme="majorHAnsi"/>
          <w:color w:val="000000" w:themeColor="text1"/>
        </w:rPr>
        <w:t>Office</w:t>
      </w:r>
      <w:r w:rsidRPr="00EE301D">
        <w:rPr>
          <w:rFonts w:asciiTheme="majorHAnsi" w:hAnsiTheme="majorHAnsi"/>
          <w:color w:val="000000" w:themeColor="text1"/>
        </w:rPr>
        <w:t xml:space="preserve"> will </w:t>
      </w:r>
      <w:r>
        <w:rPr>
          <w:rFonts w:asciiTheme="majorHAnsi" w:hAnsiTheme="majorHAnsi"/>
          <w:color w:val="000000" w:themeColor="text1"/>
        </w:rPr>
        <w:t>advise</w:t>
      </w:r>
      <w:r w:rsidRPr="00EE301D">
        <w:rPr>
          <w:rFonts w:asciiTheme="majorHAnsi" w:hAnsiTheme="majorHAnsi"/>
          <w:color w:val="000000" w:themeColor="text1"/>
        </w:rPr>
        <w:t xml:space="preserve"> the student</w:t>
      </w:r>
      <w:r>
        <w:rPr>
          <w:rFonts w:asciiTheme="majorHAnsi" w:hAnsiTheme="majorHAnsi"/>
          <w:color w:val="000000" w:themeColor="text1"/>
        </w:rPr>
        <w:t xml:space="preserve"> accordingly; </w:t>
      </w:r>
      <w:r w:rsidRPr="00EE301D">
        <w:rPr>
          <w:rFonts w:asciiTheme="majorHAnsi" w:hAnsiTheme="majorHAnsi"/>
          <w:color w:val="000000" w:themeColor="text1"/>
        </w:rPr>
        <w:t xml:space="preserve">and will subsequently inform the student when the Board of Examiners will meet to reconsider the case. On receipt of the appeal and the </w:t>
      </w:r>
      <w:r>
        <w:rPr>
          <w:rFonts w:asciiTheme="majorHAnsi" w:hAnsiTheme="majorHAnsi"/>
          <w:color w:val="000000" w:themeColor="text1"/>
        </w:rPr>
        <w:t>Academic Appeals Panel</w:t>
      </w:r>
      <w:r w:rsidRPr="00EE301D">
        <w:rPr>
          <w:rFonts w:asciiTheme="majorHAnsi" w:hAnsiTheme="majorHAnsi"/>
          <w:color w:val="000000" w:themeColor="text1"/>
        </w:rPr>
        <w:t xml:space="preserve">’s comments, the </w:t>
      </w:r>
      <w:r>
        <w:rPr>
          <w:rFonts w:asciiTheme="majorHAnsi" w:hAnsiTheme="majorHAnsi"/>
          <w:color w:val="000000" w:themeColor="text1"/>
        </w:rPr>
        <w:t>Head of Department</w:t>
      </w:r>
      <w:r w:rsidRPr="00EE301D">
        <w:rPr>
          <w:rFonts w:asciiTheme="majorHAnsi" w:hAnsiTheme="majorHAnsi"/>
          <w:color w:val="000000" w:themeColor="text1"/>
        </w:rPr>
        <w:t xml:space="preserve"> shall </w:t>
      </w:r>
      <w:r>
        <w:rPr>
          <w:rFonts w:asciiTheme="majorHAnsi" w:hAnsiTheme="majorHAnsi"/>
          <w:color w:val="000000" w:themeColor="text1"/>
        </w:rPr>
        <w:t>instruct</w:t>
      </w:r>
      <w:r w:rsidRPr="00EE301D">
        <w:rPr>
          <w:rFonts w:asciiTheme="majorHAnsi" w:hAnsiTheme="majorHAnsi"/>
          <w:color w:val="000000" w:themeColor="text1"/>
        </w:rPr>
        <w:t xml:space="preserve"> the Board of Examiners responsible for the assessment against which the student has appealed to reconvene and put before the Board the student's submission, the </w:t>
      </w:r>
      <w:r>
        <w:rPr>
          <w:rFonts w:asciiTheme="majorHAnsi" w:hAnsiTheme="majorHAnsi"/>
          <w:color w:val="000000" w:themeColor="text1"/>
        </w:rPr>
        <w:t xml:space="preserve">Academic Appeals Panel </w:t>
      </w:r>
      <w:r w:rsidRPr="00EE301D">
        <w:rPr>
          <w:rFonts w:asciiTheme="majorHAnsi" w:hAnsiTheme="majorHAnsi"/>
          <w:color w:val="000000" w:themeColor="text1"/>
        </w:rPr>
        <w:t xml:space="preserve">'s comments and any material relevant to the original assessment. The </w:t>
      </w:r>
      <w:r>
        <w:rPr>
          <w:rFonts w:asciiTheme="majorHAnsi" w:hAnsiTheme="majorHAnsi"/>
          <w:color w:val="000000" w:themeColor="text1"/>
        </w:rPr>
        <w:t>Head of Department</w:t>
      </w:r>
      <w:r w:rsidRPr="00EE301D">
        <w:rPr>
          <w:rFonts w:asciiTheme="majorHAnsi" w:hAnsiTheme="majorHAnsi"/>
          <w:color w:val="000000" w:themeColor="text1"/>
        </w:rPr>
        <w:t xml:space="preserve"> will then formally ask the Board to review its decision. The </w:t>
      </w:r>
      <w:r>
        <w:rPr>
          <w:rFonts w:asciiTheme="majorHAnsi" w:hAnsiTheme="majorHAnsi"/>
          <w:color w:val="000000" w:themeColor="text1"/>
        </w:rPr>
        <w:t xml:space="preserve">Academic Appeals Panel </w:t>
      </w:r>
      <w:r w:rsidRPr="00EE301D">
        <w:rPr>
          <w:rFonts w:asciiTheme="majorHAnsi" w:hAnsiTheme="majorHAnsi"/>
          <w:color w:val="000000" w:themeColor="text1"/>
        </w:rPr>
        <w:t>will have the right to attend and to address the meeting of the Board of Exam</w:t>
      </w:r>
      <w:r>
        <w:rPr>
          <w:rFonts w:asciiTheme="majorHAnsi" w:hAnsiTheme="majorHAnsi"/>
          <w:color w:val="000000" w:themeColor="text1"/>
        </w:rPr>
        <w:t>iners.</w:t>
      </w:r>
    </w:p>
    <w:p w14:paraId="69C02DE9" w14:textId="444A72CE" w:rsidR="004D3DB7" w:rsidRPr="00297EF1" w:rsidRDefault="004D3DB7" w:rsidP="00065C02">
      <w:pPr>
        <w:numPr>
          <w:ilvl w:val="0"/>
          <w:numId w:val="37"/>
        </w:numPr>
        <w:spacing w:before="120" w:line="276" w:lineRule="auto"/>
        <w:rPr>
          <w:rFonts w:asciiTheme="majorHAnsi" w:hAnsiTheme="majorHAnsi"/>
          <w:color w:val="000000" w:themeColor="text1"/>
        </w:rPr>
      </w:pPr>
      <w:bookmarkStart w:id="3" w:name="13k"/>
      <w:bookmarkEnd w:id="3"/>
      <w:r w:rsidRPr="00297EF1">
        <w:rPr>
          <w:rFonts w:asciiTheme="majorHAnsi" w:hAnsiTheme="majorHAnsi"/>
          <w:color w:val="000000" w:themeColor="text1"/>
        </w:rPr>
        <w:t xml:space="preserve">If the Academic Appeals Panel decides to uphold an appeal by a </w:t>
      </w:r>
      <w:r w:rsidR="00F03894" w:rsidRPr="00297EF1">
        <w:rPr>
          <w:rFonts w:asciiTheme="majorHAnsi" w:hAnsiTheme="majorHAnsi"/>
          <w:color w:val="000000" w:themeColor="text1"/>
        </w:rPr>
        <w:t>second-year</w:t>
      </w:r>
      <w:r w:rsidRPr="00297EF1">
        <w:rPr>
          <w:rFonts w:asciiTheme="majorHAnsi" w:hAnsiTheme="majorHAnsi"/>
          <w:color w:val="000000" w:themeColor="text1"/>
        </w:rPr>
        <w:t xml:space="preserve"> undergraduate student on the grounds of extenuating circumstances of which the Board of Examiners was unaware and of which the student could not reasonably have been expected to inform the Board of Examiners in advance, the Academic Appeals Panel will decide whether it is appropriate to ask the Head of School/Department to reconvene the Board of Examiners. If it is the Academic Appeals Panel's view that the likely outcome of such a meeting would be that the Board of Examiners would decide either that the extenuating circumstances should be carried forward to the final year Board, or that the extenuating circumstances would not have a material effect on the results, then the Academic Appeals Panel will not ask the Head of School/Department to reconvene the Board. However, Academic Appeals Panel will ensure that the Head of School/Department is fully apprised of the extenuating circumstances so that they can be placed before the Board of Examiners in the student's final year.    </w:t>
      </w:r>
      <w:bookmarkStart w:id="4" w:name="13l"/>
      <w:bookmarkEnd w:id="4"/>
    </w:p>
    <w:p w14:paraId="0CAE243B" w14:textId="77777777" w:rsidR="004D3DB7" w:rsidRPr="00EE301D" w:rsidRDefault="004D3DB7" w:rsidP="009A580C">
      <w:pPr>
        <w:numPr>
          <w:ilvl w:val="0"/>
          <w:numId w:val="37"/>
        </w:numPr>
        <w:spacing w:before="120" w:line="276" w:lineRule="auto"/>
        <w:rPr>
          <w:rFonts w:asciiTheme="majorHAnsi" w:hAnsiTheme="majorHAnsi"/>
          <w:color w:val="000000" w:themeColor="text1"/>
        </w:rPr>
      </w:pPr>
      <w:r w:rsidRPr="00EE301D">
        <w:rPr>
          <w:rFonts w:asciiTheme="majorHAnsi" w:hAnsiTheme="majorHAnsi"/>
          <w:color w:val="000000" w:themeColor="text1"/>
        </w:rPr>
        <w:t xml:space="preserve">In causing a Board of Examiners to reconvene, the </w:t>
      </w:r>
      <w:r>
        <w:rPr>
          <w:rFonts w:asciiTheme="majorHAnsi" w:hAnsiTheme="majorHAnsi"/>
          <w:color w:val="000000" w:themeColor="text1"/>
        </w:rPr>
        <w:t>Head of School/Department/Chair</w:t>
      </w:r>
      <w:r w:rsidRPr="00EE301D">
        <w:rPr>
          <w:rFonts w:asciiTheme="majorHAnsi" w:hAnsiTheme="majorHAnsi"/>
          <w:color w:val="000000" w:themeColor="text1"/>
        </w:rPr>
        <w:t xml:space="preserve"> may, at </w:t>
      </w:r>
      <w:r>
        <w:rPr>
          <w:rFonts w:asciiTheme="majorHAnsi" w:hAnsiTheme="majorHAnsi"/>
          <w:color w:val="000000" w:themeColor="text1"/>
        </w:rPr>
        <w:t>their</w:t>
      </w:r>
      <w:r w:rsidRPr="00EE301D">
        <w:rPr>
          <w:rFonts w:asciiTheme="majorHAnsi" w:hAnsiTheme="majorHAnsi"/>
          <w:color w:val="000000" w:themeColor="text1"/>
        </w:rPr>
        <w:t xml:space="preserve"> discretion, consult by telephone or in writing any internal or external examiner who is unable to attend the reconvened meeting of the Board.</w:t>
      </w:r>
    </w:p>
    <w:p w14:paraId="0FB0A415" w14:textId="77777777" w:rsidR="004D3DB7" w:rsidRPr="00EE301D" w:rsidRDefault="004D3DB7" w:rsidP="009A580C">
      <w:pPr>
        <w:numPr>
          <w:ilvl w:val="0"/>
          <w:numId w:val="37"/>
        </w:numPr>
        <w:spacing w:before="120" w:line="276" w:lineRule="auto"/>
        <w:rPr>
          <w:rFonts w:asciiTheme="majorHAnsi" w:hAnsiTheme="majorHAnsi"/>
          <w:color w:val="000000" w:themeColor="text1"/>
        </w:rPr>
      </w:pPr>
      <w:bookmarkStart w:id="5" w:name="13n"/>
      <w:bookmarkEnd w:id="5"/>
      <w:r w:rsidRPr="00EE301D">
        <w:rPr>
          <w:rFonts w:asciiTheme="majorHAnsi" w:hAnsiTheme="majorHAnsi"/>
          <w:color w:val="000000" w:themeColor="text1"/>
        </w:rPr>
        <w:t xml:space="preserve">If, following review of its decision, the Board of Examiners is satisfied that there is no reason to amend its original decision the </w:t>
      </w:r>
      <w:r>
        <w:rPr>
          <w:rFonts w:asciiTheme="majorHAnsi" w:hAnsiTheme="majorHAnsi"/>
          <w:color w:val="000000" w:themeColor="text1"/>
        </w:rPr>
        <w:t>Head of School</w:t>
      </w:r>
      <w:r w:rsidRPr="00EE301D">
        <w:rPr>
          <w:rFonts w:asciiTheme="majorHAnsi" w:hAnsiTheme="majorHAnsi"/>
          <w:color w:val="000000" w:themeColor="text1"/>
        </w:rPr>
        <w:t>/</w:t>
      </w:r>
      <w:r>
        <w:rPr>
          <w:rFonts w:asciiTheme="majorHAnsi" w:hAnsiTheme="majorHAnsi"/>
          <w:color w:val="000000" w:themeColor="text1"/>
        </w:rPr>
        <w:t>Department/Chair</w:t>
      </w:r>
      <w:r w:rsidRPr="00EE301D">
        <w:rPr>
          <w:rFonts w:asciiTheme="majorHAnsi" w:hAnsiTheme="majorHAnsi"/>
          <w:color w:val="000000" w:themeColor="text1"/>
        </w:rPr>
        <w:t xml:space="preserve"> will so inform the </w:t>
      </w:r>
      <w:r>
        <w:rPr>
          <w:rFonts w:asciiTheme="majorHAnsi" w:hAnsiTheme="majorHAnsi"/>
          <w:color w:val="000000" w:themeColor="text1"/>
        </w:rPr>
        <w:t xml:space="preserve">Academic Appeals Panel </w:t>
      </w:r>
      <w:r w:rsidRPr="00EE301D">
        <w:rPr>
          <w:rFonts w:asciiTheme="majorHAnsi" w:hAnsiTheme="majorHAnsi"/>
          <w:color w:val="000000" w:themeColor="text1"/>
        </w:rPr>
        <w:t xml:space="preserve">in writing, giving the Board's reasons for reaffirming its original decision and its comments, if any, on the grounds for appeal stated by the student.  </w:t>
      </w:r>
    </w:p>
    <w:p w14:paraId="06937966" w14:textId="77777777" w:rsidR="004D3DB7" w:rsidRPr="00EE301D" w:rsidRDefault="004D3DB7" w:rsidP="009A580C">
      <w:pPr>
        <w:numPr>
          <w:ilvl w:val="0"/>
          <w:numId w:val="37"/>
        </w:numPr>
        <w:spacing w:before="120" w:line="276" w:lineRule="auto"/>
        <w:rPr>
          <w:rFonts w:asciiTheme="majorHAnsi" w:hAnsiTheme="majorHAnsi"/>
          <w:color w:val="000000" w:themeColor="text1"/>
        </w:rPr>
      </w:pPr>
      <w:r w:rsidRPr="00EE301D">
        <w:rPr>
          <w:rFonts w:asciiTheme="majorHAnsi" w:hAnsiTheme="majorHAnsi"/>
          <w:color w:val="000000" w:themeColor="text1"/>
        </w:rPr>
        <w:t xml:space="preserve">If, following review of its decision, the Board of Examiners concludes that its original decision was wholly or partly incorrect to the extent that it decides on a new </w:t>
      </w:r>
      <w:r w:rsidRPr="00EE301D">
        <w:rPr>
          <w:rFonts w:asciiTheme="majorHAnsi" w:hAnsiTheme="majorHAnsi"/>
          <w:color w:val="000000" w:themeColor="text1"/>
        </w:rPr>
        <w:lastRenderedPageBreak/>
        <w:t xml:space="preserve">outcome, the </w:t>
      </w:r>
      <w:r>
        <w:rPr>
          <w:rFonts w:asciiTheme="majorHAnsi" w:hAnsiTheme="majorHAnsi"/>
          <w:color w:val="000000" w:themeColor="text1"/>
        </w:rPr>
        <w:t>Head of School/Department/</w:t>
      </w:r>
      <w:r w:rsidRPr="00EE301D">
        <w:rPr>
          <w:rFonts w:asciiTheme="majorHAnsi" w:hAnsiTheme="majorHAnsi"/>
          <w:color w:val="000000" w:themeColor="text1"/>
        </w:rPr>
        <w:t xml:space="preserve">Chair will so inform the </w:t>
      </w:r>
      <w:r>
        <w:rPr>
          <w:rFonts w:asciiTheme="majorHAnsi" w:hAnsiTheme="majorHAnsi"/>
          <w:color w:val="000000" w:themeColor="text1"/>
        </w:rPr>
        <w:t xml:space="preserve">Academic Appeals Panel </w:t>
      </w:r>
      <w:r w:rsidRPr="00EE301D">
        <w:rPr>
          <w:rFonts w:asciiTheme="majorHAnsi" w:hAnsiTheme="majorHAnsi"/>
          <w:color w:val="000000" w:themeColor="text1"/>
        </w:rPr>
        <w:t xml:space="preserve">in writing and advise </w:t>
      </w:r>
      <w:r>
        <w:rPr>
          <w:rFonts w:asciiTheme="majorHAnsi" w:hAnsiTheme="majorHAnsi"/>
          <w:color w:val="000000" w:themeColor="text1"/>
        </w:rPr>
        <w:t>them</w:t>
      </w:r>
      <w:r w:rsidRPr="00EE301D">
        <w:rPr>
          <w:rFonts w:asciiTheme="majorHAnsi" w:hAnsiTheme="majorHAnsi"/>
          <w:color w:val="000000" w:themeColor="text1"/>
        </w:rPr>
        <w:t xml:space="preserve"> of the amended mark or classification.  </w:t>
      </w:r>
    </w:p>
    <w:p w14:paraId="62A4E145" w14:textId="77777777" w:rsidR="00297EF1" w:rsidRDefault="004D3DB7" w:rsidP="009A580C">
      <w:pPr>
        <w:numPr>
          <w:ilvl w:val="0"/>
          <w:numId w:val="37"/>
        </w:numPr>
        <w:spacing w:before="120" w:line="276" w:lineRule="auto"/>
        <w:rPr>
          <w:rFonts w:asciiTheme="majorHAnsi" w:hAnsiTheme="majorHAnsi"/>
          <w:color w:val="000000" w:themeColor="text1"/>
        </w:rPr>
      </w:pPr>
      <w:bookmarkStart w:id="6" w:name="13p"/>
      <w:bookmarkEnd w:id="6"/>
      <w:r w:rsidRPr="00EE301D">
        <w:rPr>
          <w:rFonts w:asciiTheme="majorHAnsi" w:hAnsiTheme="majorHAnsi"/>
          <w:color w:val="000000" w:themeColor="text1"/>
        </w:rPr>
        <w:t>The decision of the Board of Examiners following review will be communicated in writing to the student stating the grounds for the decision. The communication of the decision shall in all cases constitute the formal conclusion of action taken in accordance with these procedures, and will take a form of Completion of Procedures letter.</w:t>
      </w:r>
    </w:p>
    <w:p w14:paraId="6A62FC24" w14:textId="77777777" w:rsidR="004D3DB7" w:rsidRPr="00EE301D" w:rsidRDefault="004D3DB7" w:rsidP="00297EF1">
      <w:pPr>
        <w:spacing w:before="120" w:line="276" w:lineRule="auto"/>
        <w:ind w:left="720"/>
        <w:rPr>
          <w:rFonts w:asciiTheme="majorHAnsi" w:hAnsiTheme="majorHAnsi"/>
          <w:color w:val="000000" w:themeColor="text1"/>
        </w:rPr>
      </w:pPr>
      <w:r w:rsidRPr="00EE301D">
        <w:rPr>
          <w:rFonts w:asciiTheme="majorHAnsi" w:hAnsiTheme="majorHAnsi"/>
          <w:color w:val="000000" w:themeColor="text1"/>
        </w:rPr>
        <w:t> </w:t>
      </w:r>
    </w:p>
    <w:p w14:paraId="726FD661" w14:textId="77777777" w:rsidR="004D3DB7" w:rsidRPr="00EE301D" w:rsidRDefault="004D3DB7" w:rsidP="00297EF1">
      <w:pPr>
        <w:pStyle w:val="Heading2"/>
        <w:spacing w:before="120" w:line="276" w:lineRule="auto"/>
        <w:rPr>
          <w:rFonts w:asciiTheme="majorHAnsi" w:hAnsiTheme="majorHAnsi"/>
          <w:b w:val="0"/>
          <w:color w:val="000000" w:themeColor="text1"/>
        </w:rPr>
      </w:pPr>
      <w:r w:rsidRPr="00EE301D">
        <w:t>All appeals</w:t>
      </w:r>
      <w:r w:rsidRPr="00EE301D">
        <w:rPr>
          <w:rFonts w:asciiTheme="majorHAnsi" w:hAnsiTheme="majorHAnsi"/>
          <w:color w:val="000000" w:themeColor="text1"/>
        </w:rPr>
        <w:t xml:space="preserve"> </w:t>
      </w:r>
    </w:p>
    <w:p w14:paraId="47803742" w14:textId="77777777" w:rsidR="004D3DB7" w:rsidRPr="00EE301D" w:rsidRDefault="00B42635" w:rsidP="009A580C">
      <w:pPr>
        <w:numPr>
          <w:ilvl w:val="0"/>
          <w:numId w:val="37"/>
        </w:numPr>
        <w:spacing w:before="120" w:line="276" w:lineRule="auto"/>
        <w:rPr>
          <w:rFonts w:asciiTheme="majorHAnsi" w:hAnsiTheme="majorHAnsi"/>
          <w:color w:val="000000" w:themeColor="text1"/>
        </w:rPr>
      </w:pPr>
      <w:hyperlink r:id="rId17" w:history="1">
        <w:r w:rsidR="004D3DB7" w:rsidRPr="00EE301D">
          <w:rPr>
            <w:rStyle w:val="Hyperlink"/>
            <w:rFonts w:asciiTheme="majorHAnsi" w:hAnsiTheme="majorHAnsi"/>
          </w:rPr>
          <w:t>The Office of the Independent Adjudicator for Higher Education</w:t>
        </w:r>
      </w:hyperlink>
      <w:r w:rsidR="004D3DB7" w:rsidRPr="00EE301D">
        <w:rPr>
          <w:rFonts w:asciiTheme="majorHAnsi" w:hAnsiTheme="majorHAnsi"/>
          <w:color w:val="000000" w:themeColor="text1"/>
        </w:rPr>
        <w:t xml:space="preserve"> (OIA) provides an independent scheme for the review of student complaints or appeals. When the University’s internal procedures for dealing with complaints and appeals have been exhausted, the University College will issue a Completion of Procedures letter. Students wishing to avail themselves of the opportunity of an independent review by the OIA must submit their application to the OIA within </w:t>
      </w:r>
      <w:r w:rsidR="004D3DB7" w:rsidRPr="00EE301D">
        <w:rPr>
          <w:rFonts w:asciiTheme="majorHAnsi" w:hAnsiTheme="majorHAnsi"/>
          <w:b/>
          <w:color w:val="000000" w:themeColor="text1"/>
        </w:rPr>
        <w:t>twelve months</w:t>
      </w:r>
      <w:r w:rsidR="004D3DB7" w:rsidRPr="00EE301D">
        <w:rPr>
          <w:rFonts w:asciiTheme="majorHAnsi" w:hAnsiTheme="majorHAnsi"/>
          <w:color w:val="000000" w:themeColor="text1"/>
        </w:rPr>
        <w:t xml:space="preserve"> of the issue of the Completion of Procedures letter. Full details of the scheme are available on request and will be enclosed with the Completion of Procedures letter. </w:t>
      </w:r>
    </w:p>
    <w:p w14:paraId="1CD4A7BC" w14:textId="77777777" w:rsidR="004D3DB7" w:rsidRPr="00346A88" w:rsidRDefault="004D3DB7" w:rsidP="009A580C">
      <w:pPr>
        <w:spacing w:before="120" w:line="276" w:lineRule="auto"/>
        <w:rPr>
          <w:rFonts w:asciiTheme="majorHAnsi" w:hAnsiTheme="majorHAnsi"/>
          <w:color w:val="000000" w:themeColor="text1"/>
        </w:rPr>
      </w:pPr>
    </w:p>
    <w:p w14:paraId="25339916" w14:textId="77777777" w:rsidR="00376080" w:rsidRDefault="00376080" w:rsidP="009A580C">
      <w:pPr>
        <w:spacing w:before="120" w:line="276" w:lineRule="auto"/>
        <w:rPr>
          <w:rFonts w:cs="Arial"/>
          <w:b/>
        </w:rPr>
      </w:pPr>
    </w:p>
    <w:sectPr w:rsidR="00376080" w:rsidSect="00297EF1">
      <w:headerReference w:type="default" r:id="rId18"/>
      <w:footerReference w:type="default" r:id="rId19"/>
      <w:pgSz w:w="11900" w:h="16840"/>
      <w:pgMar w:top="709" w:right="1418" w:bottom="709" w:left="1418"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0E29" w14:textId="77777777" w:rsidR="007763CA" w:rsidRDefault="007763CA">
      <w:r>
        <w:separator/>
      </w:r>
    </w:p>
  </w:endnote>
  <w:endnote w:type="continuationSeparator" w:id="0">
    <w:p w14:paraId="76A9D930" w14:textId="77777777" w:rsidR="007763CA" w:rsidRDefault="0077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51A8" w14:textId="1521AB57" w:rsidR="004D3DB7" w:rsidRDefault="004D3DB7" w:rsidP="00281B9E">
    <w:pPr>
      <w:pStyle w:val="Footer"/>
      <w:tabs>
        <w:tab w:val="clear" w:pos="4320"/>
        <w:tab w:val="clear" w:pos="8640"/>
        <w:tab w:val="left" w:pos="1190"/>
      </w:tabs>
      <w:ind w:left="-1247"/>
    </w:pPr>
    <w:r>
      <w:rPr>
        <w:noProof/>
        <w:lang w:eastAsia="en-GB"/>
      </w:rPr>
      <w:drawing>
        <wp:inline distT="0" distB="0" distL="0" distR="0" wp14:anchorId="713EC161" wp14:editId="0F8D8FAA">
          <wp:extent cx="7555230" cy="1918335"/>
          <wp:effectExtent l="0" t="0" r="7620" b="5715"/>
          <wp:docPr id="33" name="Picture 33"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30" cy="19183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94E7" w14:textId="77777777" w:rsidR="004D3DB7" w:rsidRDefault="004D3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440672"/>
      <w:docPartObj>
        <w:docPartGallery w:val="Page Numbers (Bottom of Page)"/>
        <w:docPartUnique/>
      </w:docPartObj>
    </w:sdtPr>
    <w:sdtEndPr>
      <w:rPr>
        <w:noProof/>
      </w:rPr>
    </w:sdtEndPr>
    <w:sdtContent>
      <w:p w14:paraId="6C7FCB87" w14:textId="50ABA483" w:rsidR="00297EF1" w:rsidRDefault="00297EF1">
        <w:pPr>
          <w:pStyle w:val="Footer"/>
          <w:jc w:val="center"/>
        </w:pPr>
        <w:r>
          <w:fldChar w:fldCharType="begin"/>
        </w:r>
        <w:r>
          <w:instrText xml:space="preserve"> PAGE   \* MERGEFORMAT </w:instrText>
        </w:r>
        <w:r>
          <w:fldChar w:fldCharType="separate"/>
        </w:r>
        <w:r w:rsidR="00B42635">
          <w:rPr>
            <w:noProof/>
          </w:rPr>
          <w:t>4</w:t>
        </w:r>
        <w:r>
          <w:rPr>
            <w:noProof/>
          </w:rPr>
          <w:fldChar w:fldCharType="end"/>
        </w:r>
      </w:p>
    </w:sdtContent>
  </w:sdt>
  <w:p w14:paraId="7DAFF18D" w14:textId="77777777" w:rsidR="00297EF1" w:rsidRDefault="00297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08857" w14:textId="77777777" w:rsidR="007763CA" w:rsidRDefault="007763CA">
      <w:r>
        <w:separator/>
      </w:r>
    </w:p>
  </w:footnote>
  <w:footnote w:type="continuationSeparator" w:id="0">
    <w:p w14:paraId="2CE419E1" w14:textId="77777777" w:rsidR="007763CA" w:rsidRDefault="0077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BCD7" w14:textId="77777777" w:rsidR="004D3DB7" w:rsidRDefault="004D3DB7" w:rsidP="00131FE0">
    <w:pPr>
      <w:pStyle w:val="Header"/>
      <w:ind w:left="-567"/>
    </w:pPr>
    <w:r>
      <w:rPr>
        <w:noProof/>
        <w:lang w:eastAsia="en-GB"/>
      </w:rPr>
      <w:drawing>
        <wp:anchor distT="0" distB="0" distL="114300" distR="114300" simplePos="0" relativeHeight="251658240" behindDoc="0" locked="0" layoutInCell="1" allowOverlap="1" wp14:anchorId="396BE8C5" wp14:editId="7BCD9E7C">
          <wp:simplePos x="0" y="0"/>
          <wp:positionH relativeFrom="page">
            <wp:align>left</wp:align>
          </wp:positionH>
          <wp:positionV relativeFrom="paragraph">
            <wp:posOffset>-434782</wp:posOffset>
          </wp:positionV>
          <wp:extent cx="7556500" cy="1966595"/>
          <wp:effectExtent l="0" t="0" r="6350" b="0"/>
          <wp:wrapThrough wrapText="bothSides">
            <wp:wrapPolygon edited="0">
              <wp:start x="0" y="0"/>
              <wp:lineTo x="0" y="21342"/>
              <wp:lineTo x="21564" y="21342"/>
              <wp:lineTo x="21564" y="0"/>
              <wp:lineTo x="0" y="0"/>
            </wp:wrapPolygon>
          </wp:wrapThrough>
          <wp:docPr id="32" name="Picture 32"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9665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759A" w14:textId="77777777" w:rsidR="004D3DB7" w:rsidRDefault="004D3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0B97" w14:textId="77777777" w:rsidR="008D73EB" w:rsidRDefault="00B42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5D7"/>
    <w:multiLevelType w:val="hybridMultilevel"/>
    <w:tmpl w:val="24CAA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872A0"/>
    <w:multiLevelType w:val="hybridMultilevel"/>
    <w:tmpl w:val="8E26A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30944"/>
    <w:multiLevelType w:val="hybridMultilevel"/>
    <w:tmpl w:val="31304BB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C1EE1"/>
    <w:multiLevelType w:val="hybridMultilevel"/>
    <w:tmpl w:val="AEAEC51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757100F"/>
    <w:multiLevelType w:val="hybridMultilevel"/>
    <w:tmpl w:val="F86875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93169"/>
    <w:multiLevelType w:val="hybridMultilevel"/>
    <w:tmpl w:val="4D1ED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03572"/>
    <w:multiLevelType w:val="hybridMultilevel"/>
    <w:tmpl w:val="5F608234"/>
    <w:lvl w:ilvl="0" w:tplc="6D2245D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B07D5"/>
    <w:multiLevelType w:val="hybridMultilevel"/>
    <w:tmpl w:val="66D219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D7F96"/>
    <w:multiLevelType w:val="hybridMultilevel"/>
    <w:tmpl w:val="DAFCA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F6B43"/>
    <w:multiLevelType w:val="multilevel"/>
    <w:tmpl w:val="66DECDC4"/>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194361"/>
    <w:multiLevelType w:val="hybridMultilevel"/>
    <w:tmpl w:val="5D42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E16FE"/>
    <w:multiLevelType w:val="hybridMultilevel"/>
    <w:tmpl w:val="36A23E40"/>
    <w:lvl w:ilvl="0" w:tplc="0F42CA72">
      <w:start w:val="1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B6B1B"/>
    <w:multiLevelType w:val="hybridMultilevel"/>
    <w:tmpl w:val="57503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8308E4"/>
    <w:multiLevelType w:val="hybridMultilevel"/>
    <w:tmpl w:val="9916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659AA"/>
    <w:multiLevelType w:val="multilevel"/>
    <w:tmpl w:val="0DA8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C4F4C"/>
    <w:multiLevelType w:val="multilevel"/>
    <w:tmpl w:val="08F621BE"/>
    <w:lvl w:ilvl="0">
      <w:start w:val="1"/>
      <w:numFmt w:val="decimal"/>
      <w:lvlText w:val="%1."/>
      <w:lvlJc w:val="left"/>
      <w:pPr>
        <w:ind w:left="502" w:hanging="360"/>
      </w:pPr>
      <w:rPr>
        <w:rFonts w:asciiTheme="majorHAnsi" w:hAnsiTheme="majorHAnsi" w:hint="default"/>
        <w:b w:val="0"/>
        <w:color w:val="2E74B5" w:themeColor="accent1" w:themeShade="BF"/>
        <w:sz w:val="26"/>
        <w:szCs w:val="26"/>
      </w:rPr>
    </w:lvl>
    <w:lvl w:ilvl="1">
      <w:start w:val="1"/>
      <w:numFmt w:val="decimal"/>
      <w:lvlText w:val="%1.%2."/>
      <w:lvlJc w:val="left"/>
      <w:pPr>
        <w:ind w:left="792" w:hanging="432"/>
      </w:pPr>
      <w:rPr>
        <w:rFonts w:asciiTheme="minorHAnsi" w:hAnsiTheme="minorHAnsi" w:hint="default"/>
        <w:b w:val="0"/>
        <w:color w:val="2E74B5" w:themeColor="accent1" w:themeShade="BF"/>
        <w:sz w:val="22"/>
        <w:szCs w:val="22"/>
      </w:rPr>
    </w:lvl>
    <w:lvl w:ilvl="2">
      <w:start w:val="1"/>
      <w:numFmt w:val="decimal"/>
      <w:lvlText w:val="%1.%2.%3."/>
      <w:lvlJc w:val="left"/>
      <w:pPr>
        <w:ind w:left="1224" w:hanging="504"/>
      </w:pPr>
      <w:rPr>
        <w:rFonts w:asciiTheme="minorHAnsi" w:hAnsiTheme="minorHAnsi" w:cstheme="minorHAnsi" w:hint="default"/>
        <w:b w:val="0"/>
        <w:i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CC66C7"/>
    <w:multiLevelType w:val="hybridMultilevel"/>
    <w:tmpl w:val="45B21B2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C060371"/>
    <w:multiLevelType w:val="hybridMultilevel"/>
    <w:tmpl w:val="90D8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D2659"/>
    <w:multiLevelType w:val="hybridMultilevel"/>
    <w:tmpl w:val="9D0677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2631E"/>
    <w:multiLevelType w:val="hybridMultilevel"/>
    <w:tmpl w:val="7974C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583E7A"/>
    <w:multiLevelType w:val="hybridMultilevel"/>
    <w:tmpl w:val="FFCE4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75196D"/>
    <w:multiLevelType w:val="hybridMultilevel"/>
    <w:tmpl w:val="3B9AD4A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6B96B55"/>
    <w:multiLevelType w:val="hybridMultilevel"/>
    <w:tmpl w:val="F67A4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525638"/>
    <w:multiLevelType w:val="hybridMultilevel"/>
    <w:tmpl w:val="F704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1060A4"/>
    <w:multiLevelType w:val="hybridMultilevel"/>
    <w:tmpl w:val="5A307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3D4C22"/>
    <w:multiLevelType w:val="hybridMultilevel"/>
    <w:tmpl w:val="DE669F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603663A"/>
    <w:multiLevelType w:val="multilevel"/>
    <w:tmpl w:val="1F6A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CA43A9"/>
    <w:multiLevelType w:val="hybridMultilevel"/>
    <w:tmpl w:val="EE605C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670D8"/>
    <w:multiLevelType w:val="multilevel"/>
    <w:tmpl w:val="204AF8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3E04EBC"/>
    <w:multiLevelType w:val="hybridMultilevel"/>
    <w:tmpl w:val="A02EB52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C193AF2"/>
    <w:multiLevelType w:val="hybridMultilevel"/>
    <w:tmpl w:val="177C565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C028F"/>
    <w:multiLevelType w:val="hybridMultilevel"/>
    <w:tmpl w:val="8B6AFF2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F3627AE"/>
    <w:multiLevelType w:val="multilevel"/>
    <w:tmpl w:val="3C3422EC"/>
    <w:lvl w:ilvl="0">
      <w:start w:val="1"/>
      <w:numFmt w:val="none"/>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76"/>
        </w:tabs>
        <w:ind w:left="576" w:hanging="576"/>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152"/>
        </w:tabs>
        <w:ind w:left="1152" w:hanging="144"/>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0AD66F8"/>
    <w:multiLevelType w:val="hybridMultilevel"/>
    <w:tmpl w:val="EB46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F7839"/>
    <w:multiLevelType w:val="hybridMultilevel"/>
    <w:tmpl w:val="D512BAF8"/>
    <w:lvl w:ilvl="0" w:tplc="0809000F">
      <w:start w:val="1"/>
      <w:numFmt w:val="decimal"/>
      <w:lvlText w:val="%1."/>
      <w:lvlJc w:val="left"/>
      <w:pPr>
        <w:ind w:left="772" w:hanging="360"/>
      </w:pPr>
      <w:rPr>
        <w:rFonts w:hint="default"/>
      </w:r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35" w15:restartNumberingAfterBreak="0">
    <w:nsid w:val="737930EB"/>
    <w:multiLevelType w:val="hybridMultilevel"/>
    <w:tmpl w:val="E9749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817E21"/>
    <w:multiLevelType w:val="hybridMultilevel"/>
    <w:tmpl w:val="5038C6EA"/>
    <w:lvl w:ilvl="0" w:tplc="0A62C800">
      <w:start w:val="1"/>
      <w:numFmt w:val="bullet"/>
      <w:lvlText w:val=""/>
      <w:lvlJc w:val="left"/>
      <w:pPr>
        <w:tabs>
          <w:tab w:val="num" w:pos="2160"/>
        </w:tabs>
        <w:ind w:left="2160" w:hanging="360"/>
      </w:pPr>
      <w:rPr>
        <w:rFonts w:ascii="Symbol" w:hAnsi="Symbol" w:hint="default"/>
        <w:sz w:val="24"/>
        <w:szCs w:val="24"/>
      </w:rPr>
    </w:lvl>
    <w:lvl w:ilvl="1" w:tplc="0809000F">
      <w:start w:val="1"/>
      <w:numFmt w:val="decimal"/>
      <w:lvlText w:val="%2."/>
      <w:lvlJc w:val="left"/>
      <w:pPr>
        <w:tabs>
          <w:tab w:val="num" w:pos="2880"/>
        </w:tabs>
        <w:ind w:left="2880" w:hanging="360"/>
      </w:pPr>
      <w:rPr>
        <w:rFonts w:hint="default"/>
        <w:sz w:val="24"/>
        <w:szCs w:val="24"/>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D172152"/>
    <w:multiLevelType w:val="hybridMultilevel"/>
    <w:tmpl w:val="F3603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921A6C"/>
    <w:multiLevelType w:val="hybridMultilevel"/>
    <w:tmpl w:val="96C489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DB84A42"/>
    <w:multiLevelType w:val="hybridMultilevel"/>
    <w:tmpl w:val="2E2CC2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5"/>
  </w:num>
  <w:num w:numId="3">
    <w:abstractNumId w:val="3"/>
  </w:num>
  <w:num w:numId="4">
    <w:abstractNumId w:val="36"/>
  </w:num>
  <w:num w:numId="5">
    <w:abstractNumId w:val="21"/>
  </w:num>
  <w:num w:numId="6">
    <w:abstractNumId w:val="19"/>
  </w:num>
  <w:num w:numId="7">
    <w:abstractNumId w:val="20"/>
  </w:num>
  <w:num w:numId="8">
    <w:abstractNumId w:val="1"/>
  </w:num>
  <w:num w:numId="9">
    <w:abstractNumId w:val="22"/>
  </w:num>
  <w:num w:numId="10">
    <w:abstractNumId w:val="12"/>
  </w:num>
  <w:num w:numId="11">
    <w:abstractNumId w:val="38"/>
  </w:num>
  <w:num w:numId="12">
    <w:abstractNumId w:val="25"/>
  </w:num>
  <w:num w:numId="13">
    <w:abstractNumId w:val="32"/>
  </w:num>
  <w:num w:numId="14">
    <w:abstractNumId w:val="11"/>
  </w:num>
  <w:num w:numId="15">
    <w:abstractNumId w:val="9"/>
  </w:num>
  <w:num w:numId="16">
    <w:abstractNumId w:val="13"/>
  </w:num>
  <w:num w:numId="17">
    <w:abstractNumId w:val="26"/>
  </w:num>
  <w:num w:numId="18">
    <w:abstractNumId w:val="6"/>
  </w:num>
  <w:num w:numId="19">
    <w:abstractNumId w:val="30"/>
  </w:num>
  <w:num w:numId="20">
    <w:abstractNumId w:val="2"/>
  </w:num>
  <w:num w:numId="21">
    <w:abstractNumId w:val="4"/>
  </w:num>
  <w:num w:numId="22">
    <w:abstractNumId w:val="39"/>
  </w:num>
  <w:num w:numId="23">
    <w:abstractNumId w:val="10"/>
  </w:num>
  <w:num w:numId="24">
    <w:abstractNumId w:val="7"/>
  </w:num>
  <w:num w:numId="25">
    <w:abstractNumId w:val="17"/>
  </w:num>
  <w:num w:numId="26">
    <w:abstractNumId w:val="8"/>
  </w:num>
  <w:num w:numId="27">
    <w:abstractNumId w:val="28"/>
  </w:num>
  <w:num w:numId="28">
    <w:abstractNumId w:val="14"/>
  </w:num>
  <w:num w:numId="29">
    <w:abstractNumId w:val="15"/>
  </w:num>
  <w:num w:numId="30">
    <w:abstractNumId w:val="37"/>
  </w:num>
  <w:num w:numId="31">
    <w:abstractNumId w:val="5"/>
  </w:num>
  <w:num w:numId="32">
    <w:abstractNumId w:val="23"/>
  </w:num>
  <w:num w:numId="33">
    <w:abstractNumId w:val="33"/>
  </w:num>
  <w:num w:numId="34">
    <w:abstractNumId w:val="34"/>
  </w:num>
  <w:num w:numId="35">
    <w:abstractNumId w:val="0"/>
  </w:num>
  <w:num w:numId="36">
    <w:abstractNumId w:val="24"/>
  </w:num>
  <w:num w:numId="37">
    <w:abstractNumId w:val="18"/>
  </w:num>
  <w:num w:numId="38">
    <w:abstractNumId w:val="31"/>
  </w:num>
  <w:num w:numId="39">
    <w:abstractNumId w:val="1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41"/>
    <w:rsid w:val="000377A8"/>
    <w:rsid w:val="000436F1"/>
    <w:rsid w:val="00080063"/>
    <w:rsid w:val="000C6CB2"/>
    <w:rsid w:val="000E3DD5"/>
    <w:rsid w:val="000F6A75"/>
    <w:rsid w:val="00104706"/>
    <w:rsid w:val="0011082A"/>
    <w:rsid w:val="00111A7C"/>
    <w:rsid w:val="00111C35"/>
    <w:rsid w:val="0013448D"/>
    <w:rsid w:val="0015715B"/>
    <w:rsid w:val="00185AA8"/>
    <w:rsid w:val="00192052"/>
    <w:rsid w:val="001A1FDA"/>
    <w:rsid w:val="001C1758"/>
    <w:rsid w:val="001C6D6B"/>
    <w:rsid w:val="001C7852"/>
    <w:rsid w:val="001E3A7E"/>
    <w:rsid w:val="00203A60"/>
    <w:rsid w:val="00204AF3"/>
    <w:rsid w:val="00214443"/>
    <w:rsid w:val="00222F93"/>
    <w:rsid w:val="0023222D"/>
    <w:rsid w:val="00253CAC"/>
    <w:rsid w:val="00281B9E"/>
    <w:rsid w:val="00297EF1"/>
    <w:rsid w:val="002B6A15"/>
    <w:rsid w:val="00302707"/>
    <w:rsid w:val="003369CF"/>
    <w:rsid w:val="003546E1"/>
    <w:rsid w:val="00376080"/>
    <w:rsid w:val="00376332"/>
    <w:rsid w:val="00396DBD"/>
    <w:rsid w:val="0040598E"/>
    <w:rsid w:val="00417ACE"/>
    <w:rsid w:val="00441F2E"/>
    <w:rsid w:val="00481D9A"/>
    <w:rsid w:val="004B2CA9"/>
    <w:rsid w:val="004B5DD8"/>
    <w:rsid w:val="004C56C4"/>
    <w:rsid w:val="004D16DD"/>
    <w:rsid w:val="004D3DB7"/>
    <w:rsid w:val="004E5D00"/>
    <w:rsid w:val="004F74F2"/>
    <w:rsid w:val="00507F7B"/>
    <w:rsid w:val="0051587D"/>
    <w:rsid w:val="005A5F14"/>
    <w:rsid w:val="005B21F9"/>
    <w:rsid w:val="00602A06"/>
    <w:rsid w:val="00616340"/>
    <w:rsid w:val="0063281F"/>
    <w:rsid w:val="006356E1"/>
    <w:rsid w:val="00642581"/>
    <w:rsid w:val="00657079"/>
    <w:rsid w:val="00660ABF"/>
    <w:rsid w:val="0067030E"/>
    <w:rsid w:val="006A056E"/>
    <w:rsid w:val="006D3985"/>
    <w:rsid w:val="006E1B8F"/>
    <w:rsid w:val="006F1408"/>
    <w:rsid w:val="006F25C1"/>
    <w:rsid w:val="006F2DD0"/>
    <w:rsid w:val="0076472D"/>
    <w:rsid w:val="007763CA"/>
    <w:rsid w:val="00777BD0"/>
    <w:rsid w:val="007A188D"/>
    <w:rsid w:val="007B40AA"/>
    <w:rsid w:val="007E395E"/>
    <w:rsid w:val="007E4903"/>
    <w:rsid w:val="00811F09"/>
    <w:rsid w:val="00812B21"/>
    <w:rsid w:val="00813102"/>
    <w:rsid w:val="00823E7D"/>
    <w:rsid w:val="008257E8"/>
    <w:rsid w:val="008859AE"/>
    <w:rsid w:val="008A74FC"/>
    <w:rsid w:val="008B56B4"/>
    <w:rsid w:val="008D56EE"/>
    <w:rsid w:val="00955255"/>
    <w:rsid w:val="0095572A"/>
    <w:rsid w:val="009767AD"/>
    <w:rsid w:val="0099141D"/>
    <w:rsid w:val="009943C1"/>
    <w:rsid w:val="00996070"/>
    <w:rsid w:val="009A580C"/>
    <w:rsid w:val="00A00FB9"/>
    <w:rsid w:val="00A014D0"/>
    <w:rsid w:val="00A21582"/>
    <w:rsid w:val="00A46EE4"/>
    <w:rsid w:val="00A51148"/>
    <w:rsid w:val="00A71A78"/>
    <w:rsid w:val="00A7521B"/>
    <w:rsid w:val="00A77FC6"/>
    <w:rsid w:val="00AB13EC"/>
    <w:rsid w:val="00AE1981"/>
    <w:rsid w:val="00B26CD5"/>
    <w:rsid w:val="00B42635"/>
    <w:rsid w:val="00B6454A"/>
    <w:rsid w:val="00BC14BF"/>
    <w:rsid w:val="00BE0211"/>
    <w:rsid w:val="00BF4B0B"/>
    <w:rsid w:val="00C06919"/>
    <w:rsid w:val="00C12454"/>
    <w:rsid w:val="00C30C9F"/>
    <w:rsid w:val="00C35B39"/>
    <w:rsid w:val="00C407FF"/>
    <w:rsid w:val="00C45DA1"/>
    <w:rsid w:val="00C737EE"/>
    <w:rsid w:val="00C7395D"/>
    <w:rsid w:val="00C83CE5"/>
    <w:rsid w:val="00C9498C"/>
    <w:rsid w:val="00CB119A"/>
    <w:rsid w:val="00CB3E65"/>
    <w:rsid w:val="00CB6AB4"/>
    <w:rsid w:val="00CC153C"/>
    <w:rsid w:val="00CF62BA"/>
    <w:rsid w:val="00CF72A8"/>
    <w:rsid w:val="00D24975"/>
    <w:rsid w:val="00D35A13"/>
    <w:rsid w:val="00D36DED"/>
    <w:rsid w:val="00D423C3"/>
    <w:rsid w:val="00D56AA9"/>
    <w:rsid w:val="00D85AF3"/>
    <w:rsid w:val="00D93452"/>
    <w:rsid w:val="00D977F8"/>
    <w:rsid w:val="00DA61A6"/>
    <w:rsid w:val="00DB5EB0"/>
    <w:rsid w:val="00DD19ED"/>
    <w:rsid w:val="00DD364B"/>
    <w:rsid w:val="00E0738B"/>
    <w:rsid w:val="00E21F3C"/>
    <w:rsid w:val="00E44157"/>
    <w:rsid w:val="00E5030B"/>
    <w:rsid w:val="00E969DE"/>
    <w:rsid w:val="00ED2BB1"/>
    <w:rsid w:val="00F0081A"/>
    <w:rsid w:val="00F03894"/>
    <w:rsid w:val="00F133B6"/>
    <w:rsid w:val="00F13B93"/>
    <w:rsid w:val="00F14FF1"/>
    <w:rsid w:val="00F2505F"/>
    <w:rsid w:val="00F52062"/>
    <w:rsid w:val="00F95B31"/>
    <w:rsid w:val="00FE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3C5860"/>
  <w15:chartTrackingRefBased/>
  <w15:docId w15:val="{CF782BED-CCE1-400D-88D8-AF51363E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93"/>
    <w:rPr>
      <w:rFonts w:ascii="Arial" w:hAnsi="Arial"/>
      <w:sz w:val="22"/>
      <w:szCs w:val="24"/>
      <w:lang w:eastAsia="en-US"/>
    </w:rPr>
  </w:style>
  <w:style w:type="paragraph" w:styleId="Heading1">
    <w:name w:val="heading 1"/>
    <w:basedOn w:val="Normal"/>
    <w:next w:val="Normal"/>
    <w:link w:val="Heading1Char"/>
    <w:uiPriority w:val="9"/>
    <w:qFormat/>
    <w:pPr>
      <w:keepNext/>
      <w:outlineLvl w:val="0"/>
    </w:pPr>
    <w:rPr>
      <w:b/>
      <w:sz w:val="28"/>
      <w:szCs w:val="28"/>
    </w:rPr>
  </w:style>
  <w:style w:type="paragraph" w:styleId="Heading2">
    <w:name w:val="heading 2"/>
    <w:basedOn w:val="Normal"/>
    <w:next w:val="Normal"/>
    <w:link w:val="Heading2Char"/>
    <w:uiPriority w:val="9"/>
    <w:qFormat/>
    <w:pPr>
      <w:keepNext/>
      <w:outlineLvl w:val="1"/>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Cs/>
      <w:szCs w:val="28"/>
    </w:rPr>
  </w:style>
  <w:style w:type="paragraph" w:styleId="BodyTextIndent2">
    <w:name w:val="Body Text Indent 2"/>
    <w:basedOn w:val="Normal"/>
    <w:pPr>
      <w:tabs>
        <w:tab w:val="left" w:pos="-2340"/>
      </w:tabs>
      <w:ind w:left="540"/>
    </w:pPr>
    <w:rPr>
      <w:b/>
      <w:szCs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CC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257E8"/>
    <w:pPr>
      <w:tabs>
        <w:tab w:val="center" w:pos="4320"/>
        <w:tab w:val="right" w:pos="8640"/>
      </w:tabs>
    </w:pPr>
  </w:style>
  <w:style w:type="character" w:styleId="Hyperlink">
    <w:name w:val="Hyperlink"/>
    <w:uiPriority w:val="99"/>
    <w:rsid w:val="00BE0211"/>
    <w:rPr>
      <w:color w:val="0000FF"/>
      <w:u w:val="single"/>
    </w:rPr>
  </w:style>
  <w:style w:type="paragraph" w:styleId="FootnoteText">
    <w:name w:val="footnote text"/>
    <w:basedOn w:val="Normal"/>
    <w:link w:val="FootnoteTextChar"/>
    <w:rsid w:val="00B6454A"/>
    <w:pPr>
      <w:tabs>
        <w:tab w:val="left" w:pos="576"/>
        <w:tab w:val="left" w:pos="1152"/>
        <w:tab w:val="left" w:pos="1728"/>
        <w:tab w:val="left" w:pos="5760"/>
        <w:tab w:val="right" w:pos="9029"/>
      </w:tabs>
      <w:spacing w:after="80" w:line="200" w:lineRule="exact"/>
      <w:ind w:firstLine="288"/>
      <w:jc w:val="both"/>
    </w:pPr>
    <w:rPr>
      <w:rFonts w:ascii="Times New Roman" w:hAnsi="Times New Roman"/>
      <w:sz w:val="19"/>
      <w:szCs w:val="20"/>
    </w:rPr>
  </w:style>
  <w:style w:type="character" w:customStyle="1" w:styleId="FootnoteTextChar">
    <w:name w:val="Footnote Text Char"/>
    <w:link w:val="FootnoteText"/>
    <w:rsid w:val="00B6454A"/>
    <w:rPr>
      <w:sz w:val="19"/>
      <w:lang w:eastAsia="en-US"/>
    </w:rPr>
  </w:style>
  <w:style w:type="character" w:styleId="FootnoteReference">
    <w:name w:val="footnote reference"/>
    <w:uiPriority w:val="99"/>
    <w:rsid w:val="00B6454A"/>
    <w:rPr>
      <w:vertAlign w:val="superscript"/>
    </w:rPr>
  </w:style>
  <w:style w:type="paragraph" w:styleId="Title">
    <w:name w:val="Title"/>
    <w:basedOn w:val="Normal"/>
    <w:next w:val="Normal"/>
    <w:link w:val="TitleChar"/>
    <w:qFormat/>
    <w:rsid w:val="00B6454A"/>
    <w:pPr>
      <w:tabs>
        <w:tab w:val="left" w:pos="576"/>
        <w:tab w:val="left" w:pos="1152"/>
        <w:tab w:val="left" w:pos="1728"/>
        <w:tab w:val="left" w:pos="5760"/>
        <w:tab w:val="right" w:pos="9029"/>
      </w:tabs>
      <w:spacing w:after="240"/>
      <w:jc w:val="center"/>
      <w:outlineLvl w:val="0"/>
    </w:pPr>
    <w:rPr>
      <w:rFonts w:ascii="Times New Roman" w:hAnsi="Times New Roman" w:cs="Arial"/>
      <w:b/>
      <w:bCs/>
      <w:kern w:val="28"/>
      <w:sz w:val="24"/>
      <w:szCs w:val="32"/>
    </w:rPr>
  </w:style>
  <w:style w:type="character" w:customStyle="1" w:styleId="TitleChar">
    <w:name w:val="Title Char"/>
    <w:link w:val="Title"/>
    <w:rsid w:val="00B6454A"/>
    <w:rPr>
      <w:rFonts w:cs="Arial"/>
      <w:b/>
      <w:bCs/>
      <w:kern w:val="28"/>
      <w:sz w:val="24"/>
      <w:szCs w:val="32"/>
      <w:lang w:eastAsia="en-US"/>
    </w:rPr>
  </w:style>
  <w:style w:type="paragraph" w:styleId="ListParagraph">
    <w:name w:val="List Paragraph"/>
    <w:basedOn w:val="Normal"/>
    <w:uiPriority w:val="34"/>
    <w:qFormat/>
    <w:rsid w:val="00B6454A"/>
    <w:pPr>
      <w:spacing w:after="160" w:line="259" w:lineRule="auto"/>
      <w:ind w:left="720"/>
      <w:contextualSpacing/>
    </w:pPr>
    <w:rPr>
      <w:rFonts w:ascii="Calibri" w:eastAsia="Calibri" w:hAnsi="Calibri"/>
      <w:szCs w:val="22"/>
    </w:rPr>
  </w:style>
  <w:style w:type="character" w:customStyle="1" w:styleId="FooterChar">
    <w:name w:val="Footer Char"/>
    <w:link w:val="Footer"/>
    <w:uiPriority w:val="99"/>
    <w:rsid w:val="00080063"/>
    <w:rPr>
      <w:rFonts w:ascii="Arial" w:hAnsi="Arial"/>
      <w:sz w:val="22"/>
      <w:szCs w:val="24"/>
      <w:lang w:eastAsia="en-US"/>
    </w:rPr>
  </w:style>
  <w:style w:type="paragraph" w:styleId="BalloonText">
    <w:name w:val="Balloon Text"/>
    <w:basedOn w:val="Normal"/>
    <w:link w:val="BalloonTextChar"/>
    <w:rsid w:val="003546E1"/>
    <w:rPr>
      <w:rFonts w:ascii="Segoe UI" w:hAnsi="Segoe UI" w:cs="Segoe UI"/>
      <w:sz w:val="18"/>
      <w:szCs w:val="18"/>
    </w:rPr>
  </w:style>
  <w:style w:type="character" w:customStyle="1" w:styleId="BalloonTextChar">
    <w:name w:val="Balloon Text Char"/>
    <w:link w:val="BalloonText"/>
    <w:rsid w:val="003546E1"/>
    <w:rPr>
      <w:rFonts w:ascii="Segoe UI" w:hAnsi="Segoe UI" w:cs="Segoe UI"/>
      <w:sz w:val="18"/>
      <w:szCs w:val="18"/>
      <w:lang w:eastAsia="en-US"/>
    </w:rPr>
  </w:style>
  <w:style w:type="character" w:customStyle="1" w:styleId="HeaderChar">
    <w:name w:val="Header Char"/>
    <w:link w:val="Header"/>
    <w:uiPriority w:val="99"/>
    <w:rsid w:val="00441F2E"/>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F133B6"/>
    <w:rPr>
      <w:color w:val="605E5C"/>
      <w:shd w:val="clear" w:color="auto" w:fill="E1DFDD"/>
    </w:rPr>
  </w:style>
  <w:style w:type="character" w:styleId="FollowedHyperlink">
    <w:name w:val="FollowedHyperlink"/>
    <w:basedOn w:val="DefaultParagraphFont"/>
    <w:rsid w:val="00F133B6"/>
    <w:rPr>
      <w:color w:val="954F72" w:themeColor="followedHyperlink"/>
      <w:u w:val="single"/>
    </w:rPr>
  </w:style>
  <w:style w:type="paragraph" w:styleId="NormalWeb">
    <w:name w:val="Normal (Web)"/>
    <w:basedOn w:val="Normal"/>
    <w:rsid w:val="002B6A15"/>
    <w:rPr>
      <w:rFonts w:ascii="Times New Roman" w:hAnsi="Times New Roman"/>
      <w:sz w:val="24"/>
    </w:rPr>
  </w:style>
  <w:style w:type="character" w:customStyle="1" w:styleId="Heading1Char">
    <w:name w:val="Heading 1 Char"/>
    <w:basedOn w:val="DefaultParagraphFont"/>
    <w:link w:val="Heading1"/>
    <w:uiPriority w:val="9"/>
    <w:rsid w:val="004D3DB7"/>
    <w:rPr>
      <w:rFonts w:ascii="Arial" w:hAnsi="Arial"/>
      <w:b/>
      <w:sz w:val="28"/>
      <w:szCs w:val="28"/>
      <w:lang w:eastAsia="en-US"/>
    </w:rPr>
  </w:style>
  <w:style w:type="character" w:customStyle="1" w:styleId="Heading2Char">
    <w:name w:val="Heading 2 Char"/>
    <w:basedOn w:val="DefaultParagraphFont"/>
    <w:link w:val="Heading2"/>
    <w:uiPriority w:val="9"/>
    <w:rsid w:val="004D3DB7"/>
    <w:rPr>
      <w:rFonts w:ascii="Arial" w:hAnsi="Arial"/>
      <w:b/>
      <w:sz w:val="22"/>
      <w:szCs w:val="28"/>
      <w:lang w:eastAsia="en-US"/>
    </w:rPr>
  </w:style>
  <w:style w:type="table" w:customStyle="1" w:styleId="TableGrid4">
    <w:name w:val="Table Grid4"/>
    <w:basedOn w:val="TableNormal"/>
    <w:next w:val="TableGrid"/>
    <w:uiPriority w:val="39"/>
    <w:rsid w:val="004D3DB7"/>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A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5330">
      <w:bodyDiv w:val="1"/>
      <w:marLeft w:val="0"/>
      <w:marRight w:val="0"/>
      <w:marTop w:val="0"/>
      <w:marBottom w:val="0"/>
      <w:divBdr>
        <w:top w:val="none" w:sz="0" w:space="0" w:color="auto"/>
        <w:left w:val="none" w:sz="0" w:space="0" w:color="auto"/>
        <w:bottom w:val="none" w:sz="0" w:space="0" w:color="auto"/>
        <w:right w:val="none" w:sz="0" w:space="0" w:color="auto"/>
      </w:divBdr>
    </w:div>
    <w:div w:id="527177957">
      <w:bodyDiv w:val="1"/>
      <w:marLeft w:val="0"/>
      <w:marRight w:val="0"/>
      <w:marTop w:val="0"/>
      <w:marBottom w:val="0"/>
      <w:divBdr>
        <w:top w:val="none" w:sz="0" w:space="0" w:color="auto"/>
        <w:left w:val="none" w:sz="0" w:space="0" w:color="auto"/>
        <w:bottom w:val="none" w:sz="0" w:space="0" w:color="auto"/>
        <w:right w:val="none" w:sz="0" w:space="0" w:color="auto"/>
      </w:divBdr>
    </w:div>
    <w:div w:id="19708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iahe.org.uk" TargetMode="External"/><Relationship Id="rId2" Type="http://schemas.openxmlformats.org/officeDocument/2006/relationships/customXml" Target="../customXml/item2.xml"/><Relationship Id="rId16" Type="http://schemas.openxmlformats.org/officeDocument/2006/relationships/hyperlink" Target="mailto:quality.registry@writtle.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oodle.writtle.ac.uk/course/view.php?id=3207&amp;section=8"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BB3386B734748B2B8A87EFD1E2C89" ma:contentTypeVersion="16" ma:contentTypeDescription="Create a new document." ma:contentTypeScope="" ma:versionID="d56bbb1f4af94f76a4ab3890cea6746b">
  <xsd:schema xmlns:xsd="http://www.w3.org/2001/XMLSchema" xmlns:xs="http://www.w3.org/2001/XMLSchema" xmlns:p="http://schemas.microsoft.com/office/2006/metadata/properties" xmlns:ns3="6c39ea8d-e6df-433d-b630-ca8bb96e1948" xmlns:ns4="bff13342-a9e1-4c41-857d-a8f57c4e8348" targetNamespace="http://schemas.microsoft.com/office/2006/metadata/properties" ma:root="true" ma:fieldsID="1b3723c060d91346470e62d7dc2d4c5a" ns3:_="" ns4:_="">
    <xsd:import namespace="6c39ea8d-e6df-433d-b630-ca8bb96e1948"/>
    <xsd:import namespace="bff13342-a9e1-4c41-857d-a8f57c4e83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ea8d-e6df-433d-b630-ca8bb96e1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13342-a9e1-4c41-857d-a8f57c4e83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c39ea8d-e6df-433d-b630-ca8bb96e19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29132-D687-4951-B735-5E693FC27AAF}">
  <ds:schemaRefs>
    <ds:schemaRef ds:uri="http://schemas.microsoft.com/sharepoint/v3/contenttype/forms"/>
  </ds:schemaRefs>
</ds:datastoreItem>
</file>

<file path=customXml/itemProps2.xml><?xml version="1.0" encoding="utf-8"?>
<ds:datastoreItem xmlns:ds="http://schemas.openxmlformats.org/officeDocument/2006/customXml" ds:itemID="{A3A06D60-B738-4D42-A6CA-F647AB99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ea8d-e6df-433d-b630-ca8bb96e1948"/>
    <ds:schemaRef ds:uri="bff13342-a9e1-4c41-857d-a8f57c4e8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25D49-B2E1-48ED-BCC1-8171F40B838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c39ea8d-e6df-433d-b630-ca8bb96e1948"/>
    <ds:schemaRef ds:uri="bff13342-a9e1-4c41-857d-a8f57c4e8348"/>
    <ds:schemaRef ds:uri="http://www.w3.org/XML/1998/namespace"/>
  </ds:schemaRefs>
</ds:datastoreItem>
</file>

<file path=customXml/itemProps4.xml><?xml version="1.0" encoding="utf-8"?>
<ds:datastoreItem xmlns:ds="http://schemas.openxmlformats.org/officeDocument/2006/customXml" ds:itemID="{ACC19964-659C-47FF-9FF0-6101E637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8728</Characters>
  <Application>Microsoft Office Word</Application>
  <DocSecurity>0</DocSecurity>
  <Lines>160</Lines>
  <Paragraphs>61</Paragraphs>
  <ScaleCrop>false</ScaleCrop>
  <HeadingPairs>
    <vt:vector size="2" baseType="variant">
      <vt:variant>
        <vt:lpstr>Title</vt:lpstr>
      </vt:variant>
      <vt:variant>
        <vt:i4>1</vt:i4>
      </vt:variant>
    </vt:vector>
  </HeadingPairs>
  <TitlesOfParts>
    <vt:vector size="1" baseType="lpstr">
      <vt:lpstr>TEMPLATE FOR BOARD PAPERS</vt:lpstr>
    </vt:vector>
  </TitlesOfParts>
  <Company>UMIST</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BOARD PAPERS</dc:title>
  <dc:subject/>
  <dc:creator>ISD</dc:creator>
  <cp:keywords/>
  <cp:lastModifiedBy>Riches, David</cp:lastModifiedBy>
  <cp:revision>3</cp:revision>
  <cp:lastPrinted>2014-11-18T10:23:00Z</cp:lastPrinted>
  <dcterms:created xsi:type="dcterms:W3CDTF">2023-10-02T16:13:00Z</dcterms:created>
  <dcterms:modified xsi:type="dcterms:W3CDTF">2023-10-02T16:13:00Z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0x010100251BB3386B734748B2B8A87EFD1E2C89</vt:lpwstr>
  </property>
  <property fmtid="{D5CDD505-2E9C-101B-9397-08002B2CF9AE}" pid="3" name="GrammarlyDocumentId">
    <vt:lpwstr>6d6c21f3f6dd0ccd3f2a949933e442759c8b23f588a5f29322f222d33eb8c8cb</vt:lpwstr>
  </property>
</Properties>
</file>